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6640" w14:textId="3104A568" w:rsidR="00095BA6" w:rsidRPr="00B07B35" w:rsidRDefault="004102F3" w:rsidP="000B7C1C">
      <w:pPr>
        <w:pStyle w:val="Heading1"/>
      </w:pPr>
      <w:bookmarkStart w:id="0" w:name="_Hlk114572174"/>
      <w:r w:rsidRPr="004102F3">
        <w:t xml:space="preserve">VCFSE (Voluntary, Community, </w:t>
      </w:r>
      <w:proofErr w:type="gramStart"/>
      <w:r w:rsidRPr="004102F3">
        <w:t>Faith</w:t>
      </w:r>
      <w:proofErr w:type="gramEnd"/>
      <w:r w:rsidRPr="004102F3">
        <w:t xml:space="preserve"> and Social Enterprise) Mental Health Resilience Forum</w:t>
      </w:r>
      <w:r w:rsidR="00B27F97">
        <w:t xml:space="preserve"> 9</w:t>
      </w:r>
      <w:r w:rsidR="00B27F97" w:rsidRPr="00B27F97">
        <w:rPr>
          <w:vertAlign w:val="superscript"/>
        </w:rPr>
        <w:t>th</w:t>
      </w:r>
      <w:r w:rsidR="00B27F97">
        <w:t xml:space="preserve"> September 2022</w:t>
      </w:r>
      <w:r w:rsidRPr="004102F3">
        <w:t xml:space="preserve"> </w:t>
      </w:r>
      <w:r w:rsidR="000B7C1C">
        <w:t>Briefing</w:t>
      </w:r>
      <w:r w:rsidR="00004C13" w:rsidRPr="00B07B35">
        <w:br/>
      </w:r>
    </w:p>
    <w:p w14:paraId="6F261DD9" w14:textId="4937336F" w:rsidR="00870220" w:rsidRDefault="004102F3" w:rsidP="00CE0D2F">
      <w:pPr>
        <w:pStyle w:val="Heading2"/>
        <w:numPr>
          <w:ilvl w:val="0"/>
          <w:numId w:val="5"/>
        </w:numPr>
      </w:pPr>
      <w:r w:rsidRPr="004102F3">
        <w:t>Background</w:t>
      </w:r>
      <w:r w:rsidR="00870220">
        <w:br/>
      </w:r>
    </w:p>
    <w:p w14:paraId="2D1C8ADF" w14:textId="0FC0026D" w:rsidR="00831D96" w:rsidRDefault="00E531F3" w:rsidP="08898D0B">
      <w:pPr>
        <w:rPr>
          <w:rStyle w:val="normaltextrun"/>
          <w:rFonts w:ascii="Calibri" w:hAnsi="Calibri" w:cs="Calibri"/>
          <w:color w:val="000000"/>
          <w:sz w:val="22"/>
        </w:rPr>
      </w:pPr>
      <w:r w:rsidRPr="00870220">
        <w:rPr>
          <w:rStyle w:val="normaltextrun"/>
          <w:rFonts w:ascii="Calibri" w:hAnsi="Calibri" w:cs="Calibri"/>
          <w:color w:val="000000"/>
          <w:sz w:val="22"/>
          <w:shd w:val="clear" w:color="auto" w:fill="FFFFFF"/>
        </w:rPr>
        <w:t xml:space="preserve">The </w:t>
      </w:r>
      <w:r>
        <w:rPr>
          <w:rStyle w:val="normaltextrun"/>
          <w:rFonts w:ascii="Calibri" w:hAnsi="Calibri" w:cs="Calibri"/>
          <w:color w:val="000000"/>
          <w:sz w:val="22"/>
          <w:shd w:val="clear" w:color="auto" w:fill="FFFFFF"/>
        </w:rPr>
        <w:t xml:space="preserve">Mental Health Resilience </w:t>
      </w:r>
      <w:r w:rsidRPr="00870220">
        <w:rPr>
          <w:rStyle w:val="normaltextrun"/>
          <w:rFonts w:ascii="Calibri" w:hAnsi="Calibri" w:cs="Calibri"/>
          <w:color w:val="000000"/>
          <w:sz w:val="22"/>
          <w:shd w:val="clear" w:color="auto" w:fill="FFFFFF"/>
        </w:rPr>
        <w:t xml:space="preserve">forum has been </w:t>
      </w:r>
      <w:r>
        <w:rPr>
          <w:rStyle w:val="normaltextrun"/>
          <w:rFonts w:ascii="Calibri" w:hAnsi="Calibri" w:cs="Calibri"/>
          <w:color w:val="000000"/>
          <w:sz w:val="22"/>
          <w:shd w:val="clear" w:color="auto" w:fill="FFFFFF"/>
        </w:rPr>
        <w:t>convened</w:t>
      </w:r>
      <w:r w:rsidRPr="00870220">
        <w:rPr>
          <w:rStyle w:val="normaltextrun"/>
          <w:rFonts w:ascii="Calibri" w:hAnsi="Calibri" w:cs="Calibri"/>
          <w:color w:val="000000"/>
          <w:sz w:val="22"/>
          <w:shd w:val="clear" w:color="auto" w:fill="FFFFFF"/>
        </w:rPr>
        <w:t xml:space="preserve"> as a </w:t>
      </w:r>
      <w:r>
        <w:rPr>
          <w:rStyle w:val="normaltextrun"/>
          <w:rFonts w:ascii="Calibri" w:hAnsi="Calibri" w:cs="Calibri"/>
          <w:color w:val="000000"/>
          <w:sz w:val="22"/>
          <w:shd w:val="clear" w:color="auto" w:fill="FFFFFF"/>
        </w:rPr>
        <w:t>C</w:t>
      </w:r>
      <w:r w:rsidRPr="00870220">
        <w:rPr>
          <w:rStyle w:val="normaltextrun"/>
          <w:rFonts w:ascii="Calibri" w:hAnsi="Calibri" w:cs="Calibri"/>
          <w:color w:val="000000"/>
          <w:sz w:val="22"/>
          <w:shd w:val="clear" w:color="auto" w:fill="FFFFFF"/>
        </w:rPr>
        <w:t xml:space="preserve">ommunity of </w:t>
      </w:r>
      <w:r>
        <w:rPr>
          <w:rStyle w:val="normaltextrun"/>
          <w:rFonts w:ascii="Calibri" w:hAnsi="Calibri" w:cs="Calibri"/>
          <w:color w:val="000000"/>
          <w:sz w:val="22"/>
          <w:shd w:val="clear" w:color="auto" w:fill="FFFFFF"/>
        </w:rPr>
        <w:t>P</w:t>
      </w:r>
      <w:r w:rsidRPr="00870220">
        <w:rPr>
          <w:rStyle w:val="normaltextrun"/>
          <w:rFonts w:ascii="Calibri" w:hAnsi="Calibri" w:cs="Calibri"/>
          <w:color w:val="000000"/>
          <w:sz w:val="22"/>
          <w:shd w:val="clear" w:color="auto" w:fill="FFFFFF"/>
        </w:rPr>
        <w:t>ractice by One Knowsley</w:t>
      </w:r>
      <w:r>
        <w:rPr>
          <w:rStyle w:val="normaltextrun"/>
          <w:rFonts w:ascii="Calibri" w:hAnsi="Calibri" w:cs="Calibri"/>
          <w:color w:val="000000"/>
          <w:sz w:val="22"/>
          <w:shd w:val="clear" w:color="auto" w:fill="FFFFFF"/>
        </w:rPr>
        <w:t xml:space="preserve">. </w:t>
      </w:r>
    </w:p>
    <w:p w14:paraId="45114ADF" w14:textId="0FC0026D" w:rsidR="00831D96" w:rsidRDefault="00E531F3" w:rsidP="00870220">
      <w:pPr>
        <w:rPr>
          <w:rStyle w:val="normaltextrun"/>
          <w:rFonts w:ascii="Calibri" w:hAnsi="Calibri" w:cs="Calibri"/>
          <w:color w:val="000000"/>
          <w:sz w:val="22"/>
          <w:shd w:val="clear" w:color="auto" w:fill="FFFFFF"/>
        </w:rPr>
      </w:pPr>
      <w:r>
        <w:rPr>
          <w:rStyle w:val="normaltextrun"/>
          <w:rFonts w:ascii="Calibri" w:hAnsi="Calibri" w:cs="Calibri"/>
          <w:color w:val="000000"/>
          <w:sz w:val="22"/>
          <w:shd w:val="clear" w:color="auto" w:fill="FFFFFF"/>
        </w:rPr>
        <w:br/>
      </w:r>
      <w:r w:rsidR="00831D96">
        <w:rPr>
          <w:rStyle w:val="normaltextrun"/>
          <w:rFonts w:ascii="Calibri" w:hAnsi="Calibri" w:cs="Calibri"/>
          <w:color w:val="000000"/>
          <w:sz w:val="22"/>
          <w:shd w:val="clear" w:color="auto" w:fill="FFFFFF"/>
        </w:rPr>
        <w:t xml:space="preserve">Prior to the COVID-19 pandemic, One Knowsley facilitated a range of </w:t>
      </w:r>
      <w:r>
        <w:rPr>
          <w:rStyle w:val="normaltextrun"/>
          <w:rFonts w:ascii="Calibri" w:hAnsi="Calibri" w:cs="Calibri"/>
          <w:color w:val="000000"/>
          <w:sz w:val="22"/>
          <w:shd w:val="clear" w:color="auto" w:fill="FFFFFF"/>
        </w:rPr>
        <w:t>C</w:t>
      </w:r>
      <w:r w:rsidR="00831D96">
        <w:rPr>
          <w:rStyle w:val="normaltextrun"/>
          <w:rFonts w:ascii="Calibri" w:hAnsi="Calibri" w:cs="Calibri"/>
          <w:color w:val="000000"/>
          <w:sz w:val="22"/>
          <w:shd w:val="clear" w:color="auto" w:fill="FFFFFF"/>
        </w:rPr>
        <w:t xml:space="preserve">ommunity of </w:t>
      </w:r>
      <w:r>
        <w:rPr>
          <w:rStyle w:val="normaltextrun"/>
          <w:rFonts w:ascii="Calibri" w:hAnsi="Calibri" w:cs="Calibri"/>
          <w:color w:val="000000"/>
          <w:sz w:val="22"/>
          <w:shd w:val="clear" w:color="auto" w:fill="FFFFFF"/>
        </w:rPr>
        <w:t>P</w:t>
      </w:r>
      <w:r w:rsidR="00831D96">
        <w:rPr>
          <w:rStyle w:val="normaltextrun"/>
          <w:rFonts w:ascii="Calibri" w:hAnsi="Calibri" w:cs="Calibri"/>
          <w:color w:val="000000"/>
          <w:sz w:val="22"/>
          <w:shd w:val="clear" w:color="auto" w:fill="FFFFFF"/>
        </w:rPr>
        <w:t xml:space="preserve">ractice forums along </w:t>
      </w:r>
      <w:r>
        <w:rPr>
          <w:rStyle w:val="normaltextrun"/>
          <w:rFonts w:ascii="Calibri" w:hAnsi="Calibri" w:cs="Calibri"/>
          <w:color w:val="000000"/>
          <w:sz w:val="22"/>
          <w:shd w:val="clear" w:color="auto" w:fill="FFFFFF"/>
        </w:rPr>
        <w:t>geographic</w:t>
      </w:r>
      <w:r w:rsidR="00831D96">
        <w:rPr>
          <w:rStyle w:val="normaltextrun"/>
          <w:rFonts w:ascii="Calibri" w:hAnsi="Calibri" w:cs="Calibri"/>
          <w:color w:val="000000"/>
          <w:sz w:val="22"/>
          <w:shd w:val="clear" w:color="auto" w:fill="FFFFFF"/>
        </w:rPr>
        <w:t xml:space="preserve"> and thematic groupings. Following the em</w:t>
      </w:r>
      <w:r>
        <w:rPr>
          <w:rStyle w:val="normaltextrun"/>
          <w:rFonts w:ascii="Calibri" w:hAnsi="Calibri" w:cs="Calibri"/>
          <w:color w:val="000000"/>
          <w:sz w:val="22"/>
          <w:shd w:val="clear" w:color="auto" w:fill="FFFFFF"/>
        </w:rPr>
        <w:t>e</w:t>
      </w:r>
      <w:r w:rsidR="00831D96">
        <w:rPr>
          <w:rStyle w:val="normaltextrun"/>
          <w:rFonts w:ascii="Calibri" w:hAnsi="Calibri" w:cs="Calibri"/>
          <w:color w:val="000000"/>
          <w:sz w:val="22"/>
          <w:shd w:val="clear" w:color="auto" w:fill="FFFFFF"/>
        </w:rPr>
        <w:t>rgence of the COVID-19 pandemic, these forums were paused</w:t>
      </w:r>
      <w:r>
        <w:rPr>
          <w:rStyle w:val="normaltextrun"/>
          <w:rFonts w:ascii="Calibri" w:hAnsi="Calibri" w:cs="Calibri"/>
          <w:color w:val="000000"/>
          <w:sz w:val="22"/>
          <w:shd w:val="clear" w:color="auto" w:fill="FFFFFF"/>
        </w:rPr>
        <w:t>, and a</w:t>
      </w:r>
      <w:r w:rsidR="00831D96" w:rsidRPr="00870220">
        <w:rPr>
          <w:rStyle w:val="normaltextrun"/>
          <w:rFonts w:ascii="Calibri" w:hAnsi="Calibri" w:cs="Calibri"/>
          <w:color w:val="000000"/>
          <w:sz w:val="22"/>
          <w:shd w:val="clear" w:color="auto" w:fill="FFFFFF"/>
        </w:rPr>
        <w:t xml:space="preserve"> single emergency response forum was established by One Knowsley</w:t>
      </w:r>
      <w:r>
        <w:rPr>
          <w:rStyle w:val="normaltextrun"/>
          <w:rFonts w:ascii="Calibri" w:hAnsi="Calibri" w:cs="Calibri"/>
          <w:color w:val="000000"/>
          <w:sz w:val="22"/>
          <w:shd w:val="clear" w:color="auto" w:fill="FFFFFF"/>
        </w:rPr>
        <w:t xml:space="preserve">. This </w:t>
      </w:r>
      <w:r w:rsidR="00831D96" w:rsidRPr="00870220">
        <w:rPr>
          <w:rStyle w:val="normaltextrun"/>
          <w:rFonts w:ascii="Calibri" w:hAnsi="Calibri" w:cs="Calibri"/>
          <w:color w:val="000000"/>
          <w:sz w:val="22"/>
          <w:shd w:val="clear" w:color="auto" w:fill="FFFFFF"/>
        </w:rPr>
        <w:t xml:space="preserve">evolved into a Public Health Forum </w:t>
      </w:r>
      <w:r>
        <w:rPr>
          <w:rStyle w:val="normaltextrun"/>
          <w:rFonts w:ascii="Calibri" w:hAnsi="Calibri" w:cs="Calibri"/>
          <w:color w:val="000000"/>
          <w:sz w:val="22"/>
          <w:shd w:val="clear" w:color="auto" w:fill="FFFFFF"/>
        </w:rPr>
        <w:t xml:space="preserve">which continues today - </w:t>
      </w:r>
      <w:r w:rsidR="00831D96" w:rsidRPr="00870220">
        <w:rPr>
          <w:rStyle w:val="normaltextrun"/>
          <w:rFonts w:ascii="Calibri" w:hAnsi="Calibri" w:cs="Calibri"/>
          <w:color w:val="000000"/>
          <w:sz w:val="22"/>
          <w:shd w:val="clear" w:color="auto" w:fill="FFFFFF"/>
        </w:rPr>
        <w:t>facilitated by K</w:t>
      </w:r>
      <w:r w:rsidR="00831D96">
        <w:rPr>
          <w:rStyle w:val="normaltextrun"/>
          <w:rFonts w:ascii="Calibri" w:hAnsi="Calibri" w:cs="Calibri"/>
          <w:color w:val="000000"/>
          <w:sz w:val="22"/>
          <w:shd w:val="clear" w:color="auto" w:fill="FFFFFF"/>
        </w:rPr>
        <w:t>nowsley Council</w:t>
      </w:r>
      <w:r w:rsidR="00831D96">
        <w:rPr>
          <w:rStyle w:val="normaltextrun"/>
          <w:rFonts w:ascii="Calibri" w:hAnsi="Calibri" w:cs="Calibri"/>
          <w:color w:val="000000"/>
          <w:sz w:val="22"/>
          <w:shd w:val="clear" w:color="auto" w:fill="FFFFFF"/>
        </w:rPr>
        <w:t xml:space="preserve">. </w:t>
      </w:r>
    </w:p>
    <w:p w14:paraId="05F61770" w14:textId="39A1CB5E" w:rsidR="00CE0D2F" w:rsidRPr="000B7C1C" w:rsidRDefault="00E531F3" w:rsidP="00870220">
      <w:pPr>
        <w:rPr>
          <w:rFonts w:ascii="Calibri" w:hAnsi="Calibri" w:cs="Calibri"/>
          <w:color w:val="000000"/>
          <w:sz w:val="22"/>
          <w:shd w:val="clear" w:color="auto" w:fill="FFFFFF"/>
        </w:rPr>
      </w:pPr>
      <w:r>
        <w:rPr>
          <w:rStyle w:val="normaltextrun"/>
          <w:rFonts w:ascii="Calibri" w:hAnsi="Calibri" w:cs="Calibri"/>
          <w:color w:val="000000"/>
          <w:sz w:val="22"/>
          <w:shd w:val="clear" w:color="auto" w:fill="FFFFFF"/>
        </w:rPr>
        <w:t xml:space="preserve">Early in the COVID-19 crisis, </w:t>
      </w:r>
      <w:r w:rsidR="008912BE">
        <w:rPr>
          <w:rStyle w:val="normaltextrun"/>
          <w:rFonts w:ascii="Calibri" w:hAnsi="Calibri" w:cs="Calibri"/>
          <w:color w:val="000000"/>
          <w:sz w:val="22"/>
          <w:shd w:val="clear" w:color="auto" w:fill="FFFFFF"/>
        </w:rPr>
        <w:t>increasing community</w:t>
      </w:r>
      <w:r w:rsidR="00831D96">
        <w:rPr>
          <w:rStyle w:val="normaltextrun"/>
          <w:rFonts w:ascii="Calibri" w:hAnsi="Calibri" w:cs="Calibri"/>
          <w:color w:val="000000"/>
          <w:sz w:val="22"/>
          <w:shd w:val="clear" w:color="auto" w:fill="FFFFFF"/>
        </w:rPr>
        <w:t xml:space="preserve"> need for mental health support</w:t>
      </w:r>
      <w:r w:rsidR="008912BE">
        <w:rPr>
          <w:rStyle w:val="normaltextrun"/>
          <w:rFonts w:ascii="Calibri" w:hAnsi="Calibri" w:cs="Calibri"/>
          <w:color w:val="000000"/>
          <w:sz w:val="22"/>
          <w:shd w:val="clear" w:color="auto" w:fill="FFFFFF"/>
        </w:rPr>
        <w:t xml:space="preserve"> from the VCFSE sector, the Mental Health Resilience Forum was established</w:t>
      </w:r>
      <w:r w:rsidR="000B7C1C">
        <w:rPr>
          <w:rStyle w:val="normaltextrun"/>
          <w:rFonts w:ascii="Calibri" w:hAnsi="Calibri" w:cs="Calibri"/>
          <w:color w:val="000000"/>
          <w:sz w:val="22"/>
          <w:shd w:val="clear" w:color="auto" w:fill="FFFFFF"/>
        </w:rPr>
        <w:t xml:space="preserve">. </w:t>
      </w:r>
      <w:r w:rsidR="004102F3" w:rsidRPr="00870220">
        <w:rPr>
          <w:rStyle w:val="normaltextrun"/>
          <w:rFonts w:ascii="Calibri" w:hAnsi="Calibri" w:cs="Calibri"/>
          <w:color w:val="000000"/>
          <w:sz w:val="22"/>
          <w:shd w:val="clear" w:color="auto" w:fill="FFFFFF"/>
        </w:rPr>
        <w:t>This forum continues to grow with a current membership of 70+ organisations.</w:t>
      </w:r>
      <w:r w:rsidR="004102F3" w:rsidRPr="00870220">
        <w:rPr>
          <w:rStyle w:val="eop"/>
          <w:rFonts w:ascii="Calibri" w:hAnsi="Calibri" w:cs="Calibri"/>
          <w:color w:val="000000"/>
          <w:sz w:val="22"/>
          <w:shd w:val="clear" w:color="auto" w:fill="FFFFFF"/>
        </w:rPr>
        <w:t> </w:t>
      </w:r>
    </w:p>
    <w:p w14:paraId="4CEDE1A7" w14:textId="77777777" w:rsidR="00004C13" w:rsidRDefault="00004C13" w:rsidP="00004C13">
      <w:pPr>
        <w:autoSpaceDE w:val="0"/>
        <w:autoSpaceDN w:val="0"/>
        <w:adjustRightInd w:val="0"/>
        <w:spacing w:after="0" w:line="240" w:lineRule="auto"/>
        <w:rPr>
          <w:rFonts w:cstheme="minorHAnsi"/>
          <w:szCs w:val="24"/>
        </w:rPr>
      </w:pPr>
    </w:p>
    <w:bookmarkEnd w:id="0"/>
    <w:p w14:paraId="5CF6A5D3" w14:textId="206DFA1C" w:rsidR="00004C13" w:rsidRPr="00004C13" w:rsidRDefault="00870220" w:rsidP="00870220">
      <w:pPr>
        <w:pStyle w:val="Heading2"/>
        <w:numPr>
          <w:ilvl w:val="0"/>
          <w:numId w:val="5"/>
        </w:numPr>
      </w:pPr>
      <w:r w:rsidRPr="00870220">
        <w:t>Community of Practice – One Knowsley</w:t>
      </w:r>
      <w:r>
        <w:br/>
      </w:r>
    </w:p>
    <w:p w14:paraId="7D44678A" w14:textId="1947BF1E" w:rsidR="00004C13" w:rsidRDefault="00870220" w:rsidP="00004C13">
      <w:pPr>
        <w:autoSpaceDE w:val="0"/>
        <w:autoSpaceDN w:val="0"/>
        <w:adjustRightInd w:val="0"/>
        <w:spacing w:after="0" w:line="240" w:lineRule="auto"/>
        <w:rPr>
          <w:rFonts w:ascii="Calibri-Bold" w:hAnsi="Calibri-Bold" w:cs="Calibri-Bold"/>
          <w:b/>
          <w:bCs/>
          <w:color w:val="6DA088"/>
          <w:sz w:val="28"/>
          <w:szCs w:val="28"/>
        </w:rPr>
      </w:pPr>
      <w:r>
        <w:rPr>
          <w:rStyle w:val="normaltextrun"/>
          <w:rFonts w:ascii="Calibri" w:hAnsi="Calibri" w:cs="Calibri"/>
          <w:color w:val="000000"/>
          <w:sz w:val="22"/>
          <w:shd w:val="clear" w:color="auto" w:fill="FFFFFF"/>
        </w:rPr>
        <w:t xml:space="preserve">What is a community of practice? The forum facilitated by One Knowsley </w:t>
      </w:r>
      <w:r w:rsidR="000B7C1C">
        <w:rPr>
          <w:rStyle w:val="normaltextrun"/>
          <w:rFonts w:ascii="Calibri" w:hAnsi="Calibri" w:cs="Calibri"/>
          <w:color w:val="000000"/>
          <w:sz w:val="22"/>
          <w:shd w:val="clear" w:color="auto" w:fill="FFFFFF"/>
        </w:rPr>
        <w:t>act</w:t>
      </w:r>
      <w:r>
        <w:rPr>
          <w:rStyle w:val="normaltextrun"/>
          <w:rFonts w:ascii="Calibri" w:hAnsi="Calibri" w:cs="Calibri"/>
          <w:color w:val="000000"/>
          <w:sz w:val="22"/>
          <w:shd w:val="clear" w:color="auto" w:fill="FFFFFF"/>
        </w:rPr>
        <w:t xml:space="preserve">s a community of practice. One Knowsley’s support and development of </w:t>
      </w:r>
      <w:r w:rsidR="001C6F98">
        <w:rPr>
          <w:rStyle w:val="normaltextrun"/>
          <w:rFonts w:ascii="Calibri" w:hAnsi="Calibri" w:cs="Calibri"/>
          <w:color w:val="000000"/>
          <w:sz w:val="22"/>
          <w:shd w:val="clear" w:color="auto" w:fill="FFFFFF"/>
        </w:rPr>
        <w:t xml:space="preserve">the </w:t>
      </w:r>
      <w:r>
        <w:rPr>
          <w:rStyle w:val="normaltextrun"/>
          <w:rFonts w:ascii="Calibri" w:hAnsi="Calibri" w:cs="Calibri"/>
          <w:color w:val="000000"/>
          <w:sz w:val="22"/>
          <w:shd w:val="clear" w:color="auto" w:fill="FFFFFF"/>
        </w:rPr>
        <w:t>VCFSE</w:t>
      </w:r>
      <w:r w:rsidR="001C6F98">
        <w:rPr>
          <w:rStyle w:val="normaltextrun"/>
          <w:rFonts w:ascii="Calibri" w:hAnsi="Calibri" w:cs="Calibri"/>
          <w:color w:val="000000"/>
          <w:sz w:val="22"/>
          <w:shd w:val="clear" w:color="auto" w:fill="FFFFFF"/>
        </w:rPr>
        <w:t xml:space="preserve"> sector</w:t>
      </w:r>
      <w:r>
        <w:rPr>
          <w:rStyle w:val="normaltextrun"/>
          <w:rFonts w:ascii="Calibri" w:hAnsi="Calibri" w:cs="Calibri"/>
          <w:color w:val="000000"/>
          <w:sz w:val="22"/>
          <w:shd w:val="clear" w:color="auto" w:fill="FFFFFF"/>
        </w:rPr>
        <w:t xml:space="preserve"> is framed around networks that enable peer support. The model develops and strengthens VCFSE networks</w:t>
      </w:r>
      <w:r w:rsidR="001C6F98">
        <w:rPr>
          <w:rStyle w:val="normaltextrun"/>
          <w:rFonts w:ascii="Calibri" w:hAnsi="Calibri" w:cs="Calibri"/>
          <w:color w:val="000000"/>
          <w:sz w:val="22"/>
          <w:shd w:val="clear" w:color="auto" w:fill="FFFFFF"/>
        </w:rPr>
        <w:t xml:space="preserve"> and</w:t>
      </w:r>
      <w:r>
        <w:rPr>
          <w:rStyle w:val="normaltextrun"/>
          <w:rFonts w:ascii="Calibri" w:hAnsi="Calibri" w:cs="Calibri"/>
          <w:color w:val="000000"/>
          <w:sz w:val="22"/>
          <w:shd w:val="clear" w:color="auto" w:fill="FFFFFF"/>
        </w:rPr>
        <w:t xml:space="preserve"> enabl</w:t>
      </w:r>
      <w:r w:rsidR="001C6F98">
        <w:rPr>
          <w:rStyle w:val="normaltextrun"/>
          <w:rFonts w:ascii="Calibri" w:hAnsi="Calibri" w:cs="Calibri"/>
          <w:color w:val="000000"/>
          <w:sz w:val="22"/>
          <w:shd w:val="clear" w:color="auto" w:fill="FFFFFF"/>
        </w:rPr>
        <w:t>es</w:t>
      </w:r>
      <w:r>
        <w:rPr>
          <w:rStyle w:val="normaltextrun"/>
          <w:rFonts w:ascii="Calibri" w:hAnsi="Calibri" w:cs="Calibri"/>
          <w:color w:val="000000"/>
          <w:sz w:val="22"/>
          <w:shd w:val="clear" w:color="auto" w:fill="FFFFFF"/>
        </w:rPr>
        <w:t xml:space="preserve"> access to resources </w:t>
      </w:r>
      <w:r w:rsidR="001C6F98">
        <w:rPr>
          <w:rStyle w:val="normaltextrun"/>
          <w:rFonts w:ascii="Calibri" w:hAnsi="Calibri" w:cs="Calibri"/>
          <w:color w:val="000000"/>
          <w:sz w:val="22"/>
          <w:shd w:val="clear" w:color="auto" w:fill="FFFFFF"/>
        </w:rPr>
        <w:t>including</w:t>
      </w:r>
      <w:r>
        <w:rPr>
          <w:rStyle w:val="normaltextrun"/>
          <w:rFonts w:ascii="Calibri" w:hAnsi="Calibri" w:cs="Calibri"/>
          <w:color w:val="000000"/>
          <w:sz w:val="22"/>
          <w:shd w:val="clear" w:color="auto" w:fill="FFFFFF"/>
        </w:rPr>
        <w:t xml:space="preserve"> time, skills, knowledge, and insight. Promotion and enhancement of best practice models across VCFSE</w:t>
      </w:r>
      <w:r w:rsidR="001C6F98">
        <w:rPr>
          <w:rStyle w:val="normaltextrun"/>
          <w:rFonts w:ascii="Calibri" w:hAnsi="Calibri" w:cs="Calibri"/>
          <w:color w:val="000000"/>
          <w:sz w:val="22"/>
          <w:shd w:val="clear" w:color="auto" w:fill="FFFFFF"/>
        </w:rPr>
        <w:t xml:space="preserve"> organisations</w:t>
      </w:r>
      <w:r>
        <w:rPr>
          <w:rStyle w:val="normaltextrun"/>
          <w:rFonts w:ascii="Calibri" w:hAnsi="Calibri" w:cs="Calibri"/>
          <w:color w:val="000000"/>
          <w:sz w:val="22"/>
          <w:shd w:val="clear" w:color="auto" w:fill="FFFFFF"/>
        </w:rPr>
        <w:t xml:space="preserve"> is a key outcome of the community of practice. This approach enables One Knowsley to deliver targeted approaches to providing timely advice, information and guidance whilst promoting connectivity, partnerships, and collaborations. Communities of Practice are a powerful space to listen to the collective voice of VCFSE and enable amplification of voice through One Knowsley’s representation role as Place Lead for VCFSE in the borough. </w:t>
      </w:r>
      <w:r>
        <w:rPr>
          <w:rStyle w:val="eop"/>
          <w:rFonts w:ascii="Calibri" w:hAnsi="Calibri" w:cs="Calibri"/>
          <w:color w:val="000000"/>
          <w:sz w:val="22"/>
          <w:shd w:val="clear" w:color="auto" w:fill="FFFFFF"/>
        </w:rPr>
        <w:t> </w:t>
      </w:r>
    </w:p>
    <w:p w14:paraId="44451BCF" w14:textId="3620D09A" w:rsidR="00004C13" w:rsidRDefault="00004C13" w:rsidP="00095BA6">
      <w:pPr>
        <w:autoSpaceDE w:val="0"/>
        <w:autoSpaceDN w:val="0"/>
        <w:adjustRightInd w:val="0"/>
        <w:spacing w:after="0" w:line="240" w:lineRule="auto"/>
        <w:rPr>
          <w:rFonts w:ascii="Calibri-Bold" w:hAnsi="Calibri-Bold" w:cs="Calibri-Bold"/>
          <w:color w:val="6DA088"/>
          <w:sz w:val="32"/>
          <w:szCs w:val="32"/>
        </w:rPr>
      </w:pPr>
    </w:p>
    <w:p w14:paraId="23EF61EA" w14:textId="1678B5B2" w:rsidR="00870220" w:rsidRDefault="00870220" w:rsidP="00870220">
      <w:pPr>
        <w:pStyle w:val="Heading2"/>
        <w:numPr>
          <w:ilvl w:val="0"/>
          <w:numId w:val="5"/>
        </w:numPr>
      </w:pPr>
      <w:r w:rsidRPr="00870220">
        <w:t>Insight Methodology</w:t>
      </w:r>
    </w:p>
    <w:p w14:paraId="7072F54C" w14:textId="58501DEA" w:rsidR="00870220" w:rsidRDefault="000B7C1C" w:rsidP="00870220">
      <w:pPr>
        <w:pStyle w:val="paragraph"/>
        <w:spacing w:before="0" w:beforeAutospacing="0" w:after="0" w:afterAutospacing="0"/>
        <w:textAlignment w:val="baseline"/>
        <w:rPr>
          <w:rFonts w:ascii="Segoe UI" w:hAnsi="Segoe UI" w:cs="Segoe UI"/>
          <w:sz w:val="18"/>
          <w:szCs w:val="18"/>
        </w:rPr>
      </w:pPr>
      <w:r>
        <w:br/>
      </w:r>
      <w:r w:rsidR="00870220">
        <w:rPr>
          <w:rStyle w:val="normaltextrun"/>
          <w:rFonts w:ascii="Calibri" w:hAnsi="Calibri" w:cs="Calibri"/>
          <w:sz w:val="22"/>
          <w:szCs w:val="22"/>
        </w:rPr>
        <w:t>Alongside insight conversations in group settings of forum members, the forum met on Friday 9</w:t>
      </w:r>
      <w:r w:rsidR="00870220">
        <w:rPr>
          <w:rStyle w:val="normaltextrun"/>
          <w:rFonts w:ascii="Calibri" w:hAnsi="Calibri" w:cs="Calibri"/>
          <w:sz w:val="17"/>
          <w:szCs w:val="17"/>
          <w:vertAlign w:val="superscript"/>
        </w:rPr>
        <w:t>th</w:t>
      </w:r>
      <w:r w:rsidR="00870220">
        <w:rPr>
          <w:rStyle w:val="normaltextrun"/>
          <w:rFonts w:ascii="Calibri" w:hAnsi="Calibri" w:cs="Calibri"/>
          <w:sz w:val="22"/>
          <w:szCs w:val="22"/>
        </w:rPr>
        <w:t xml:space="preserve"> September at Court Hey facilitated by the Sector Resilience</w:t>
      </w:r>
      <w:r>
        <w:rPr>
          <w:rStyle w:val="normaltextrun"/>
          <w:rFonts w:ascii="Calibri" w:hAnsi="Calibri" w:cs="Calibri"/>
          <w:sz w:val="22"/>
          <w:szCs w:val="22"/>
        </w:rPr>
        <w:t xml:space="preserve"> and</w:t>
      </w:r>
      <w:r w:rsidR="00870220">
        <w:rPr>
          <w:rStyle w:val="normaltextrun"/>
          <w:rFonts w:ascii="Calibri" w:hAnsi="Calibri" w:cs="Calibri"/>
          <w:sz w:val="22"/>
          <w:szCs w:val="22"/>
        </w:rPr>
        <w:t xml:space="preserve"> Capacity Building Manager in One Knowsley, Paula Kearns.</w:t>
      </w:r>
      <w:r w:rsidR="00870220">
        <w:rPr>
          <w:rStyle w:val="eop"/>
          <w:rFonts w:eastAsiaTheme="majorEastAsia"/>
          <w:sz w:val="22"/>
          <w:szCs w:val="22"/>
        </w:rPr>
        <w:t> </w:t>
      </w:r>
    </w:p>
    <w:p w14:paraId="040FAFE4" w14:textId="0F46438F" w:rsidR="08898D0B" w:rsidRDefault="08898D0B" w:rsidP="08898D0B">
      <w:pPr>
        <w:pStyle w:val="paragraph"/>
        <w:spacing w:before="0" w:beforeAutospacing="0" w:after="0" w:afterAutospacing="0"/>
        <w:rPr>
          <w:rStyle w:val="eop"/>
          <w:rFonts w:eastAsiaTheme="majorEastAsia"/>
          <w:sz w:val="22"/>
          <w:szCs w:val="22"/>
        </w:rPr>
      </w:pPr>
    </w:p>
    <w:p w14:paraId="053956BB" w14:textId="789FDE23" w:rsidR="00870220" w:rsidRDefault="00870220" w:rsidP="0087022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facilitated discussion covered 4 key areas of exploration:</w:t>
      </w:r>
      <w:r>
        <w:rPr>
          <w:rStyle w:val="eop"/>
          <w:rFonts w:eastAsiaTheme="majorEastAsia"/>
          <w:sz w:val="22"/>
          <w:szCs w:val="22"/>
        </w:rPr>
        <w:t> </w:t>
      </w:r>
      <w:r w:rsidR="00952C1E">
        <w:rPr>
          <w:rStyle w:val="eop"/>
          <w:rFonts w:ascii="Calibri" w:eastAsiaTheme="majorEastAsia" w:hAnsi="Calibri" w:cs="Calibri"/>
          <w:sz w:val="22"/>
          <w:szCs w:val="22"/>
        </w:rPr>
        <w:br/>
      </w:r>
    </w:p>
    <w:p w14:paraId="3B794BA8" w14:textId="462A1DD2" w:rsidR="00952C1E" w:rsidRDefault="001C6F98" w:rsidP="00952C1E">
      <w:pPr>
        <w:pStyle w:val="paragraph"/>
        <w:numPr>
          <w:ilvl w:val="0"/>
          <w:numId w:val="1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Has</w:t>
      </w:r>
      <w:r w:rsidR="00870220">
        <w:rPr>
          <w:rStyle w:val="normaltextrun"/>
          <w:rFonts w:ascii="Calibri" w:hAnsi="Calibri" w:cs="Calibri"/>
          <w:sz w:val="22"/>
          <w:szCs w:val="22"/>
        </w:rPr>
        <w:t xml:space="preserve"> demand changed</w:t>
      </w:r>
      <w:r>
        <w:rPr>
          <w:rStyle w:val="normaltextrun"/>
          <w:rFonts w:ascii="Calibri" w:hAnsi="Calibri" w:cs="Calibri"/>
          <w:sz w:val="22"/>
          <w:szCs w:val="22"/>
        </w:rPr>
        <w:t xml:space="preserve"> </w:t>
      </w:r>
      <w:r w:rsidR="00952C1E">
        <w:rPr>
          <w:rStyle w:val="normaltextrun"/>
          <w:rFonts w:ascii="Calibri" w:hAnsi="Calibri" w:cs="Calibri"/>
          <w:sz w:val="22"/>
          <w:szCs w:val="22"/>
        </w:rPr>
        <w:t>e.g.,</w:t>
      </w:r>
      <w:r>
        <w:rPr>
          <w:rStyle w:val="normaltextrun"/>
          <w:rFonts w:ascii="Calibri" w:hAnsi="Calibri" w:cs="Calibri"/>
          <w:sz w:val="22"/>
          <w:szCs w:val="22"/>
        </w:rPr>
        <w:t xml:space="preserve"> resulting in a change in volume or complexity </w:t>
      </w:r>
      <w:r w:rsidR="00870220">
        <w:rPr>
          <w:rStyle w:val="normaltextrun"/>
          <w:rFonts w:ascii="Calibri" w:hAnsi="Calibri" w:cs="Calibri"/>
          <w:sz w:val="22"/>
          <w:szCs w:val="22"/>
        </w:rPr>
        <w:t>of referrals?</w:t>
      </w:r>
      <w:r w:rsidR="00870220">
        <w:rPr>
          <w:rStyle w:val="eop"/>
          <w:rFonts w:eastAsiaTheme="majorEastAsia"/>
          <w:sz w:val="22"/>
          <w:szCs w:val="22"/>
        </w:rPr>
        <w:t> </w:t>
      </w:r>
    </w:p>
    <w:p w14:paraId="0A8734C9" w14:textId="77777777" w:rsidR="00952C1E" w:rsidRDefault="00870220" w:rsidP="00952C1E">
      <w:pPr>
        <w:pStyle w:val="paragraph"/>
        <w:numPr>
          <w:ilvl w:val="0"/>
          <w:numId w:val="18"/>
        </w:numPr>
        <w:spacing w:before="0" w:beforeAutospacing="0" w:after="0" w:afterAutospacing="0"/>
        <w:textAlignment w:val="baseline"/>
        <w:rPr>
          <w:rFonts w:ascii="Calibri" w:hAnsi="Calibri" w:cs="Calibri"/>
          <w:sz w:val="22"/>
          <w:szCs w:val="22"/>
        </w:rPr>
      </w:pPr>
      <w:r w:rsidRPr="00952C1E">
        <w:rPr>
          <w:rStyle w:val="normaltextrun"/>
          <w:rFonts w:ascii="Calibri" w:hAnsi="Calibri" w:cs="Calibri"/>
          <w:sz w:val="22"/>
          <w:szCs w:val="22"/>
        </w:rPr>
        <w:t>Lessons learnt from the pandemic that can be applied to the Cost-of-Living Crisis</w:t>
      </w:r>
      <w:r w:rsidRPr="00952C1E">
        <w:rPr>
          <w:rStyle w:val="eop"/>
          <w:rFonts w:ascii="Calibri" w:eastAsiaTheme="majorEastAsia" w:hAnsi="Calibri" w:cs="Calibri"/>
          <w:sz w:val="22"/>
          <w:szCs w:val="22"/>
        </w:rPr>
        <w:t> </w:t>
      </w:r>
    </w:p>
    <w:p w14:paraId="3399DDCB" w14:textId="77777777" w:rsidR="00952C1E" w:rsidRDefault="00870220" w:rsidP="00952C1E">
      <w:pPr>
        <w:pStyle w:val="paragraph"/>
        <w:numPr>
          <w:ilvl w:val="0"/>
          <w:numId w:val="18"/>
        </w:numPr>
        <w:spacing w:before="0" w:beforeAutospacing="0" w:after="0" w:afterAutospacing="0"/>
        <w:textAlignment w:val="baseline"/>
        <w:rPr>
          <w:rFonts w:ascii="Calibri" w:hAnsi="Calibri" w:cs="Calibri"/>
          <w:sz w:val="22"/>
          <w:szCs w:val="22"/>
        </w:rPr>
      </w:pPr>
      <w:r w:rsidRPr="00952C1E">
        <w:rPr>
          <w:rStyle w:val="normaltextrun"/>
          <w:rFonts w:ascii="Calibri" w:hAnsi="Calibri" w:cs="Calibri"/>
          <w:sz w:val="22"/>
          <w:szCs w:val="22"/>
        </w:rPr>
        <w:t>What does good prevention look like?</w:t>
      </w:r>
      <w:r w:rsidRPr="00952C1E">
        <w:rPr>
          <w:rStyle w:val="eop"/>
          <w:rFonts w:ascii="Calibri" w:eastAsiaTheme="majorEastAsia" w:hAnsi="Calibri" w:cs="Calibri"/>
          <w:sz w:val="22"/>
          <w:szCs w:val="22"/>
        </w:rPr>
        <w:t> </w:t>
      </w:r>
    </w:p>
    <w:p w14:paraId="22ED7358" w14:textId="08481355" w:rsidR="00870220" w:rsidRPr="00952C1E" w:rsidRDefault="00870220" w:rsidP="00952C1E">
      <w:pPr>
        <w:pStyle w:val="paragraph"/>
        <w:numPr>
          <w:ilvl w:val="0"/>
          <w:numId w:val="18"/>
        </w:numPr>
        <w:spacing w:before="0" w:beforeAutospacing="0" w:after="0" w:afterAutospacing="0"/>
        <w:textAlignment w:val="baseline"/>
        <w:rPr>
          <w:rFonts w:ascii="Calibri" w:hAnsi="Calibri" w:cs="Calibri"/>
          <w:sz w:val="22"/>
          <w:szCs w:val="22"/>
        </w:rPr>
      </w:pPr>
      <w:r w:rsidRPr="00952C1E">
        <w:rPr>
          <w:rStyle w:val="normaltextrun"/>
          <w:rFonts w:ascii="Calibri" w:hAnsi="Calibri" w:cs="Calibri"/>
          <w:sz w:val="22"/>
          <w:szCs w:val="22"/>
        </w:rPr>
        <w:t>What do you need from One Knowsley / Key Stakeholders (in support of your work)</w:t>
      </w:r>
      <w:r w:rsidRPr="00952C1E">
        <w:rPr>
          <w:rStyle w:val="eop"/>
          <w:rFonts w:ascii="Calibri" w:eastAsiaTheme="majorEastAsia" w:hAnsi="Calibri" w:cs="Calibri"/>
          <w:sz w:val="22"/>
          <w:szCs w:val="22"/>
        </w:rPr>
        <w:t> </w:t>
      </w:r>
      <w:r w:rsidR="001A3763">
        <w:rPr>
          <w:rStyle w:val="eop"/>
          <w:rFonts w:ascii="Calibri" w:eastAsiaTheme="majorEastAsia" w:hAnsi="Calibri" w:cs="Calibri"/>
          <w:sz w:val="22"/>
          <w:szCs w:val="22"/>
        </w:rPr>
        <w:br/>
      </w:r>
    </w:p>
    <w:p w14:paraId="0A6EBE87" w14:textId="3D006819" w:rsidR="00870220" w:rsidRDefault="00870220" w:rsidP="0087022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collective response</w:t>
      </w:r>
      <w:r w:rsidR="000048F2">
        <w:rPr>
          <w:rStyle w:val="normaltextrun"/>
          <w:rFonts w:ascii="Calibri" w:hAnsi="Calibri" w:cs="Calibri"/>
          <w:sz w:val="22"/>
          <w:szCs w:val="22"/>
        </w:rPr>
        <w:t>s</w:t>
      </w:r>
      <w:r>
        <w:rPr>
          <w:rStyle w:val="normaltextrun"/>
          <w:rFonts w:ascii="Calibri" w:hAnsi="Calibri" w:cs="Calibri"/>
          <w:sz w:val="22"/>
          <w:szCs w:val="22"/>
        </w:rPr>
        <w:t xml:space="preserve"> across both approaches </w:t>
      </w:r>
      <w:r w:rsidR="001A6B61">
        <w:rPr>
          <w:rStyle w:val="normaltextrun"/>
          <w:rFonts w:ascii="Calibri" w:hAnsi="Calibri" w:cs="Calibri"/>
          <w:sz w:val="22"/>
          <w:szCs w:val="22"/>
        </w:rPr>
        <w:t xml:space="preserve">are captured </w:t>
      </w:r>
      <w:r>
        <w:rPr>
          <w:rStyle w:val="normaltextrun"/>
          <w:rFonts w:ascii="Calibri" w:hAnsi="Calibri" w:cs="Calibri"/>
          <w:sz w:val="22"/>
          <w:szCs w:val="22"/>
        </w:rPr>
        <w:t>within this briefing.</w:t>
      </w:r>
      <w:r>
        <w:rPr>
          <w:rStyle w:val="eop"/>
          <w:rFonts w:eastAsiaTheme="majorEastAsia"/>
          <w:sz w:val="22"/>
          <w:szCs w:val="22"/>
        </w:rPr>
        <w:t> </w:t>
      </w:r>
    </w:p>
    <w:p w14:paraId="143F2E11" w14:textId="7BF505B2" w:rsidR="08898D0B" w:rsidRDefault="08898D0B" w:rsidP="08898D0B">
      <w:pPr>
        <w:pStyle w:val="paragraph"/>
        <w:spacing w:before="0" w:beforeAutospacing="0" w:after="0" w:afterAutospacing="0"/>
        <w:rPr>
          <w:rStyle w:val="eop"/>
          <w:rFonts w:eastAsiaTheme="majorEastAsia"/>
          <w:sz w:val="22"/>
          <w:szCs w:val="22"/>
        </w:rPr>
      </w:pPr>
    </w:p>
    <w:p w14:paraId="6D92C0A4" w14:textId="63063274" w:rsidR="00870220" w:rsidRDefault="00870220" w:rsidP="00870220">
      <w:pPr>
        <w:pStyle w:val="Heading2"/>
        <w:numPr>
          <w:ilvl w:val="0"/>
          <w:numId w:val="5"/>
        </w:numPr>
        <w:rPr>
          <w:rStyle w:val="eop"/>
        </w:rPr>
      </w:pPr>
      <w:r w:rsidRPr="00870220">
        <w:rPr>
          <w:rStyle w:val="normaltextrun"/>
        </w:rPr>
        <w:t>Response</w:t>
      </w:r>
      <w:r w:rsidR="000B7C1C">
        <w:rPr>
          <w:rStyle w:val="normaltextrun"/>
        </w:rPr>
        <w:br/>
      </w:r>
    </w:p>
    <w:p w14:paraId="28612136" w14:textId="77777777" w:rsidR="001A6B61" w:rsidRDefault="00870220" w:rsidP="001A6B61">
      <w:pPr>
        <w:rPr>
          <w:rStyle w:val="normaltextrun"/>
          <w:rFonts w:ascii="Calibri" w:hAnsi="Calibri" w:cs="Calibri"/>
          <w:color w:val="000000"/>
          <w:sz w:val="22"/>
          <w:shd w:val="clear" w:color="auto" w:fill="FFFFFF"/>
        </w:rPr>
      </w:pPr>
      <w:r>
        <w:rPr>
          <w:rStyle w:val="normaltextrun"/>
          <w:rFonts w:ascii="Calibri" w:hAnsi="Calibri" w:cs="Calibri"/>
          <w:color w:val="000000"/>
          <w:sz w:val="22"/>
          <w:shd w:val="clear" w:color="auto" w:fill="FFFFFF"/>
        </w:rPr>
        <w:t>Key responses are detailed below and can be summarised against emergent themes of</w:t>
      </w:r>
      <w:r w:rsidR="001A6B61">
        <w:rPr>
          <w:rStyle w:val="normaltextrun"/>
          <w:rFonts w:ascii="Calibri" w:hAnsi="Calibri" w:cs="Calibri"/>
          <w:color w:val="000000"/>
          <w:sz w:val="22"/>
          <w:shd w:val="clear" w:color="auto" w:fill="FFFFFF"/>
        </w:rPr>
        <w:t>:</w:t>
      </w:r>
    </w:p>
    <w:p w14:paraId="0B143A85" w14:textId="77777777" w:rsidR="001A6B61" w:rsidRDefault="00870220" w:rsidP="001A6B61">
      <w:pPr>
        <w:pStyle w:val="ListParagraph"/>
        <w:numPr>
          <w:ilvl w:val="0"/>
          <w:numId w:val="15"/>
        </w:numPr>
        <w:rPr>
          <w:rStyle w:val="normaltextrun"/>
          <w:rFonts w:ascii="Calibri" w:hAnsi="Calibri" w:cs="Calibri"/>
          <w:color w:val="000000"/>
          <w:sz w:val="22"/>
          <w:shd w:val="clear" w:color="auto" w:fill="FFFFFF"/>
        </w:rPr>
      </w:pPr>
      <w:r w:rsidRPr="001A6B61">
        <w:rPr>
          <w:rStyle w:val="normaltextrun"/>
          <w:rFonts w:ascii="Calibri" w:hAnsi="Calibri" w:cs="Calibri"/>
          <w:color w:val="000000"/>
          <w:sz w:val="22"/>
          <w:shd w:val="clear" w:color="auto" w:fill="FFFFFF"/>
        </w:rPr>
        <w:t>Complexity in demand</w:t>
      </w:r>
    </w:p>
    <w:p w14:paraId="6C893391" w14:textId="77777777" w:rsidR="001A6B61" w:rsidRDefault="001A6B61" w:rsidP="001A6B61">
      <w:pPr>
        <w:pStyle w:val="ListParagraph"/>
        <w:numPr>
          <w:ilvl w:val="0"/>
          <w:numId w:val="15"/>
        </w:numPr>
        <w:rPr>
          <w:rStyle w:val="normaltextrun"/>
          <w:rFonts w:ascii="Calibri" w:hAnsi="Calibri" w:cs="Calibri"/>
          <w:color w:val="000000"/>
          <w:sz w:val="22"/>
          <w:shd w:val="clear" w:color="auto" w:fill="FFFFFF"/>
        </w:rPr>
      </w:pPr>
      <w:r>
        <w:rPr>
          <w:rStyle w:val="normaltextrun"/>
          <w:rFonts w:ascii="Calibri" w:hAnsi="Calibri" w:cs="Calibri"/>
          <w:color w:val="000000"/>
          <w:sz w:val="22"/>
          <w:shd w:val="clear" w:color="auto" w:fill="FFFFFF"/>
        </w:rPr>
        <w:t>W</w:t>
      </w:r>
      <w:r w:rsidR="00870220" w:rsidRPr="001A6B61">
        <w:rPr>
          <w:rStyle w:val="normaltextrun"/>
          <w:rFonts w:ascii="Calibri" w:hAnsi="Calibri" w:cs="Calibri"/>
          <w:color w:val="000000"/>
          <w:sz w:val="22"/>
          <w:shd w:val="clear" w:color="auto" w:fill="FFFFFF"/>
        </w:rPr>
        <w:t>hat good looks like from a VCFSE lens</w:t>
      </w:r>
    </w:p>
    <w:p w14:paraId="29406AC0" w14:textId="77777777" w:rsidR="001A6B61" w:rsidRDefault="001A6B61" w:rsidP="001A6B61">
      <w:pPr>
        <w:pStyle w:val="ListParagraph"/>
        <w:numPr>
          <w:ilvl w:val="0"/>
          <w:numId w:val="15"/>
        </w:numPr>
        <w:rPr>
          <w:rStyle w:val="normaltextrun"/>
          <w:rFonts w:ascii="Calibri" w:hAnsi="Calibri" w:cs="Calibri"/>
          <w:color w:val="000000"/>
          <w:sz w:val="22"/>
          <w:shd w:val="clear" w:color="auto" w:fill="FFFFFF"/>
        </w:rPr>
      </w:pPr>
      <w:r>
        <w:rPr>
          <w:rStyle w:val="normaltextrun"/>
          <w:rFonts w:ascii="Calibri" w:hAnsi="Calibri" w:cs="Calibri"/>
          <w:color w:val="000000"/>
          <w:sz w:val="22"/>
          <w:shd w:val="clear" w:color="auto" w:fill="FFFFFF"/>
        </w:rPr>
        <w:t>T</w:t>
      </w:r>
      <w:r w:rsidR="00870220" w:rsidRPr="001A6B61">
        <w:rPr>
          <w:rStyle w:val="normaltextrun"/>
          <w:rFonts w:ascii="Calibri" w:hAnsi="Calibri" w:cs="Calibri"/>
          <w:color w:val="000000"/>
          <w:sz w:val="22"/>
          <w:shd w:val="clear" w:color="auto" w:fill="FFFFFF"/>
        </w:rPr>
        <w:t>he impact of the right money at the right time to deliver interventions for VCFSE</w:t>
      </w:r>
    </w:p>
    <w:p w14:paraId="6FB66F13" w14:textId="2E163683" w:rsidR="00870220" w:rsidRPr="001A6B61" w:rsidRDefault="001A6B61" w:rsidP="001A6B61">
      <w:pPr>
        <w:pStyle w:val="ListParagraph"/>
        <w:numPr>
          <w:ilvl w:val="0"/>
          <w:numId w:val="15"/>
        </w:numPr>
        <w:rPr>
          <w:rStyle w:val="eop"/>
          <w:rFonts w:ascii="Calibri" w:hAnsi="Calibri" w:cs="Calibri"/>
          <w:color w:val="000000"/>
          <w:sz w:val="22"/>
          <w:shd w:val="clear" w:color="auto" w:fill="FFFFFF"/>
        </w:rPr>
      </w:pPr>
      <w:r>
        <w:rPr>
          <w:rStyle w:val="normaltextrun"/>
          <w:rFonts w:ascii="Calibri" w:hAnsi="Calibri" w:cs="Calibri"/>
          <w:color w:val="000000"/>
          <w:sz w:val="22"/>
          <w:shd w:val="clear" w:color="auto" w:fill="FFFFFF"/>
        </w:rPr>
        <w:t>S</w:t>
      </w:r>
      <w:r w:rsidR="00870220" w:rsidRPr="001A6B61">
        <w:rPr>
          <w:rStyle w:val="normaltextrun"/>
          <w:rFonts w:ascii="Calibri" w:hAnsi="Calibri" w:cs="Calibri"/>
          <w:color w:val="000000"/>
          <w:sz w:val="22"/>
          <w:shd w:val="clear" w:color="auto" w:fill="FFFFFF"/>
        </w:rPr>
        <w:t>upporting VCFSE responses.</w:t>
      </w:r>
      <w:r w:rsidR="00870220" w:rsidRPr="001A6B61">
        <w:rPr>
          <w:rStyle w:val="eop"/>
          <w:rFonts w:ascii="Calibri" w:hAnsi="Calibri" w:cs="Calibri"/>
          <w:color w:val="000000"/>
          <w:sz w:val="22"/>
          <w:shd w:val="clear" w:color="auto" w:fill="FFFFFF"/>
        </w:rPr>
        <w:t> </w:t>
      </w:r>
    </w:p>
    <w:p w14:paraId="2189CFD4" w14:textId="7FCA709E" w:rsidR="00870220" w:rsidRDefault="00870220" w:rsidP="00870220">
      <w:pPr>
        <w:pStyle w:val="Heading2"/>
      </w:pPr>
      <w:r>
        <w:t>4.</w:t>
      </w:r>
      <w:r w:rsidR="00AC2B25">
        <w:t>1</w:t>
      </w:r>
      <w:r>
        <w:t xml:space="preserve"> </w:t>
      </w:r>
      <w:r w:rsidRPr="00870220">
        <w:t>Demand is increasing alongside increasing complexity in the needs of the individual</w:t>
      </w:r>
      <w:r w:rsidR="000B7C1C">
        <w:br/>
      </w:r>
    </w:p>
    <w:p w14:paraId="45E48EE5" w14:textId="77777777" w:rsidR="00952C1E" w:rsidRPr="0054238E" w:rsidRDefault="00AC2B25" w:rsidP="0054238E">
      <w:pPr>
        <w:pStyle w:val="ListParagraph"/>
        <w:numPr>
          <w:ilvl w:val="0"/>
          <w:numId w:val="20"/>
        </w:numPr>
        <w:rPr>
          <w:rFonts w:ascii="Calibri" w:hAnsi="Calibri" w:cs="Calibri"/>
        </w:rPr>
      </w:pPr>
      <w:r w:rsidRPr="0054238E">
        <w:rPr>
          <w:rStyle w:val="normaltextrun"/>
          <w:sz w:val="22"/>
        </w:rPr>
        <w:t>Sector is well placed to deliver Tier 1 and Tier 2 interventions, Tiers 3 and 4 are being pushed into the sector due to lack of public sector inventions</w:t>
      </w:r>
      <w:r w:rsidRPr="0054238E">
        <w:rPr>
          <w:rStyle w:val="eop"/>
          <w:rFonts w:ascii="Calibri" w:hAnsi="Calibri" w:cs="Calibri"/>
          <w:sz w:val="22"/>
        </w:rPr>
        <w:t> </w:t>
      </w:r>
    </w:p>
    <w:p w14:paraId="2877A204" w14:textId="77777777" w:rsidR="00952C1E" w:rsidRPr="0054238E" w:rsidRDefault="00AC2B25" w:rsidP="0054238E">
      <w:pPr>
        <w:pStyle w:val="ListParagraph"/>
        <w:numPr>
          <w:ilvl w:val="0"/>
          <w:numId w:val="20"/>
        </w:numPr>
        <w:rPr>
          <w:rFonts w:ascii="Calibri" w:hAnsi="Calibri" w:cs="Calibri"/>
        </w:rPr>
      </w:pPr>
      <w:r w:rsidRPr="0054238E">
        <w:rPr>
          <w:rStyle w:val="normaltextrun"/>
          <w:rFonts w:ascii="Calibri" w:eastAsiaTheme="majorEastAsia" w:hAnsi="Calibri" w:cs="Calibri"/>
          <w:sz w:val="22"/>
        </w:rPr>
        <w:t>Need more doers! Not more sign posters! To respond to increasing complexity in demand.</w:t>
      </w:r>
      <w:r w:rsidRPr="0054238E">
        <w:rPr>
          <w:rStyle w:val="eop"/>
          <w:rFonts w:ascii="Calibri" w:hAnsi="Calibri" w:cs="Calibri"/>
          <w:sz w:val="22"/>
        </w:rPr>
        <w:t> </w:t>
      </w:r>
    </w:p>
    <w:p w14:paraId="39FB4C03" w14:textId="77777777" w:rsidR="00952C1E" w:rsidRPr="0054238E" w:rsidRDefault="00AC2B25" w:rsidP="0054238E">
      <w:pPr>
        <w:pStyle w:val="ListParagraph"/>
        <w:numPr>
          <w:ilvl w:val="0"/>
          <w:numId w:val="20"/>
        </w:numPr>
        <w:rPr>
          <w:rFonts w:ascii="Calibri" w:hAnsi="Calibri" w:cs="Calibri"/>
        </w:rPr>
      </w:pPr>
      <w:r w:rsidRPr="0054238E">
        <w:rPr>
          <w:rStyle w:val="normaltextrun"/>
          <w:rFonts w:ascii="Calibri" w:eastAsiaTheme="majorEastAsia" w:hAnsi="Calibri" w:cs="Calibri"/>
          <w:sz w:val="22"/>
        </w:rPr>
        <w:t>Support and Capacity Development of VCFSE is key</w:t>
      </w:r>
      <w:r w:rsidRPr="0054238E">
        <w:rPr>
          <w:rStyle w:val="eop"/>
          <w:rFonts w:ascii="Calibri" w:hAnsi="Calibri" w:cs="Calibri"/>
          <w:sz w:val="22"/>
        </w:rPr>
        <w:t> </w:t>
      </w:r>
    </w:p>
    <w:p w14:paraId="24B9015B" w14:textId="40B34F70" w:rsidR="00AC2B25" w:rsidRPr="0054238E" w:rsidRDefault="00AC2B25" w:rsidP="0054238E">
      <w:pPr>
        <w:pStyle w:val="ListParagraph"/>
        <w:numPr>
          <w:ilvl w:val="0"/>
          <w:numId w:val="20"/>
        </w:numPr>
        <w:rPr>
          <w:rFonts w:ascii="Calibri" w:hAnsi="Calibri" w:cs="Calibri"/>
        </w:rPr>
      </w:pPr>
      <w:r w:rsidRPr="0054238E">
        <w:rPr>
          <w:rStyle w:val="normaltextrun"/>
          <w:rFonts w:ascii="Calibri" w:eastAsiaTheme="majorEastAsia" w:hAnsi="Calibri" w:cs="Calibri"/>
          <w:sz w:val="22"/>
        </w:rPr>
        <w:t>Cost of living crisis is a known and recognised factor in increased demand</w:t>
      </w:r>
      <w:r w:rsidRPr="0054238E">
        <w:rPr>
          <w:rStyle w:val="eop"/>
          <w:rFonts w:ascii="Calibri" w:hAnsi="Calibri" w:cs="Calibri"/>
          <w:sz w:val="22"/>
        </w:rPr>
        <w:t> </w:t>
      </w:r>
      <w:r w:rsidR="001B3088" w:rsidRPr="0054238E">
        <w:rPr>
          <w:rStyle w:val="eop"/>
          <w:rFonts w:ascii="Calibri" w:hAnsi="Calibri" w:cs="Calibri"/>
          <w:sz w:val="22"/>
        </w:rPr>
        <w:br/>
      </w:r>
    </w:p>
    <w:p w14:paraId="6875B8B4" w14:textId="1841239E" w:rsidR="00AC2B25" w:rsidRDefault="00AC2B25" w:rsidP="0054238E">
      <w:pPr>
        <w:rPr>
          <w:rFonts w:ascii="Segoe UI" w:hAnsi="Segoe UI" w:cs="Segoe UI"/>
          <w:sz w:val="18"/>
          <w:szCs w:val="18"/>
        </w:rPr>
      </w:pPr>
      <w:r>
        <w:rPr>
          <w:rStyle w:val="normaltextrun"/>
          <w:sz w:val="22"/>
        </w:rPr>
        <w:t>Referrals to VCFSE have increased with varying mental health issues in the past year, of which the complexity can waver from those who need a little help, to people who need residential help. External factors of the emergent cost-of-living crisis coupled with a world emerging from the pandemic has created snowball effect on people and their mental comfort. </w:t>
      </w:r>
      <w:r>
        <w:rPr>
          <w:rStyle w:val="eop"/>
          <w:rFonts w:ascii="Calibri" w:hAnsi="Calibri" w:cs="Calibri"/>
          <w:sz w:val="22"/>
        </w:rPr>
        <w:t> </w:t>
      </w:r>
      <w:r w:rsidR="001B3088">
        <w:rPr>
          <w:rStyle w:val="eop"/>
          <w:rFonts w:ascii="Calibri" w:hAnsi="Calibri" w:cs="Calibri"/>
          <w:sz w:val="22"/>
        </w:rPr>
        <w:br/>
      </w:r>
    </w:p>
    <w:p w14:paraId="073BB786" w14:textId="16002178" w:rsidR="00AC2B25" w:rsidRDefault="00AC2B25" w:rsidP="0054238E">
      <w:pPr>
        <w:rPr>
          <w:rFonts w:ascii="Segoe UI" w:hAnsi="Segoe UI" w:cs="Segoe UI"/>
          <w:sz w:val="18"/>
          <w:szCs w:val="18"/>
        </w:rPr>
      </w:pPr>
      <w:r>
        <w:rPr>
          <w:rStyle w:val="normaltextrun"/>
          <w:i/>
          <w:iCs/>
          <w:sz w:val="22"/>
        </w:rPr>
        <w:t>‘Our clients cannot afford to live!’</w:t>
      </w:r>
      <w:r>
        <w:rPr>
          <w:rStyle w:val="eop"/>
          <w:rFonts w:ascii="Calibri" w:hAnsi="Calibri" w:cs="Calibri"/>
          <w:sz w:val="22"/>
        </w:rPr>
        <w:t> </w:t>
      </w:r>
      <w:r w:rsidR="001B3088">
        <w:rPr>
          <w:rStyle w:val="eop"/>
          <w:rFonts w:ascii="Calibri" w:hAnsi="Calibri" w:cs="Calibri"/>
          <w:sz w:val="22"/>
        </w:rPr>
        <w:br/>
      </w:r>
    </w:p>
    <w:p w14:paraId="18FC32E6" w14:textId="7085E6E1" w:rsidR="00AC2B25" w:rsidRDefault="00AC2B25" w:rsidP="0054238E">
      <w:pPr>
        <w:rPr>
          <w:rFonts w:ascii="Segoe UI" w:hAnsi="Segoe UI" w:cs="Segoe UI"/>
          <w:sz w:val="18"/>
          <w:szCs w:val="18"/>
        </w:rPr>
      </w:pPr>
      <w:r>
        <w:rPr>
          <w:rStyle w:val="normaltextrun"/>
          <w:sz w:val="22"/>
        </w:rPr>
        <w:t>This was a quote made by a participant to the forum who claims that the cost-of-living crisis means that their beneficiaries cannot afford to get both the basics done and have money for anything else which may enrich their lives.</w:t>
      </w:r>
      <w:r w:rsidR="001A3763">
        <w:rPr>
          <w:rStyle w:val="normaltextrun"/>
          <w:rFonts w:ascii="Calibri" w:eastAsiaTheme="majorEastAsia" w:hAnsi="Calibri" w:cs="Calibri"/>
          <w:sz w:val="22"/>
        </w:rPr>
        <w:t xml:space="preserve"> Social and financial pressures are resulting in widening health inequalities and </w:t>
      </w:r>
      <w:r w:rsidR="003B53A5">
        <w:rPr>
          <w:rStyle w:val="normaltextrun"/>
          <w:rFonts w:ascii="Calibri" w:eastAsiaTheme="majorEastAsia" w:hAnsi="Calibri" w:cs="Calibri"/>
          <w:sz w:val="22"/>
        </w:rPr>
        <w:t>spiralling mental ill-health.</w:t>
      </w:r>
    </w:p>
    <w:p w14:paraId="3A9EB224" w14:textId="00F6C1D7" w:rsidR="00AC2B25" w:rsidRDefault="00AC2B25" w:rsidP="00AC2B25"/>
    <w:p w14:paraId="157703B7" w14:textId="144F4D7F" w:rsidR="00AC2B25" w:rsidRDefault="00AC2B25" w:rsidP="000F5A42">
      <w:pPr>
        <w:pStyle w:val="Heading2"/>
        <w:numPr>
          <w:ilvl w:val="1"/>
          <w:numId w:val="5"/>
        </w:numPr>
      </w:pPr>
      <w:r w:rsidRPr="00AC2B25">
        <w:t>What good looks like</w:t>
      </w:r>
      <w:r w:rsidR="000B7C1C">
        <w:br/>
      </w:r>
    </w:p>
    <w:p w14:paraId="23394E99" w14:textId="77777777" w:rsidR="000F5A42" w:rsidRPr="0054238E" w:rsidRDefault="000F5A42" w:rsidP="0054238E">
      <w:pPr>
        <w:pStyle w:val="ListParagraph"/>
        <w:numPr>
          <w:ilvl w:val="0"/>
          <w:numId w:val="21"/>
        </w:numPr>
        <w:rPr>
          <w:rFonts w:ascii="Calibri" w:hAnsi="Calibri" w:cs="Calibri"/>
        </w:rPr>
      </w:pPr>
      <w:r w:rsidRPr="0054238E">
        <w:rPr>
          <w:rStyle w:val="normaltextrun"/>
          <w:sz w:val="22"/>
        </w:rPr>
        <w:t>Disconnect in what good looks like, measures of success for VCFSE interventions have a different starting point to public sector (e.g., reduce hospital admissions)</w:t>
      </w:r>
      <w:r w:rsidRPr="0054238E">
        <w:rPr>
          <w:rStyle w:val="eop"/>
          <w:rFonts w:ascii="Calibri" w:hAnsi="Calibri" w:cs="Calibri"/>
          <w:sz w:val="22"/>
        </w:rPr>
        <w:t> </w:t>
      </w:r>
    </w:p>
    <w:p w14:paraId="68890DD5" w14:textId="77777777" w:rsidR="000F5A42" w:rsidRPr="0054238E" w:rsidRDefault="000F5A42" w:rsidP="0054238E">
      <w:pPr>
        <w:pStyle w:val="ListParagraph"/>
        <w:numPr>
          <w:ilvl w:val="0"/>
          <w:numId w:val="21"/>
        </w:numPr>
        <w:rPr>
          <w:rFonts w:ascii="Calibri" w:hAnsi="Calibri" w:cs="Calibri"/>
        </w:rPr>
      </w:pPr>
      <w:r w:rsidRPr="0054238E">
        <w:rPr>
          <w:rStyle w:val="normaltextrun"/>
          <w:sz w:val="22"/>
        </w:rPr>
        <w:t>VCFSE is holistic, measures of success need to be rooted in the positive outcomes for the individual and the wider community not driven by public sector pressures (as above point)</w:t>
      </w:r>
      <w:r w:rsidRPr="0054238E">
        <w:rPr>
          <w:rStyle w:val="eop"/>
          <w:rFonts w:ascii="Calibri" w:hAnsi="Calibri" w:cs="Calibri"/>
          <w:sz w:val="22"/>
        </w:rPr>
        <w:t> </w:t>
      </w:r>
    </w:p>
    <w:p w14:paraId="6CE4A4CE" w14:textId="1E10AD7F" w:rsidR="000F5A42" w:rsidRPr="0054238E" w:rsidRDefault="000F5A42" w:rsidP="0054238E">
      <w:pPr>
        <w:pStyle w:val="ListParagraph"/>
        <w:numPr>
          <w:ilvl w:val="0"/>
          <w:numId w:val="21"/>
        </w:numPr>
        <w:rPr>
          <w:rFonts w:ascii="Calibri" w:hAnsi="Calibri" w:cs="Calibri"/>
        </w:rPr>
      </w:pPr>
      <w:r w:rsidRPr="0054238E">
        <w:rPr>
          <w:rStyle w:val="normaltextrun"/>
          <w:sz w:val="22"/>
        </w:rPr>
        <w:t>Data needs to include insight from the sector </w:t>
      </w:r>
      <w:r w:rsidRPr="0054238E">
        <w:rPr>
          <w:rStyle w:val="eop"/>
          <w:rFonts w:ascii="Calibri" w:hAnsi="Calibri" w:cs="Calibri"/>
          <w:sz w:val="22"/>
        </w:rPr>
        <w:t> </w:t>
      </w:r>
      <w:r w:rsidR="001B3088" w:rsidRPr="0054238E">
        <w:rPr>
          <w:rStyle w:val="eop"/>
          <w:rFonts w:ascii="Calibri" w:hAnsi="Calibri" w:cs="Calibri"/>
          <w:sz w:val="22"/>
        </w:rPr>
        <w:br/>
      </w:r>
    </w:p>
    <w:p w14:paraId="1A93596A" w14:textId="53B459AA" w:rsidR="000F5A42" w:rsidRDefault="000F5A42" w:rsidP="0054238E">
      <w:pPr>
        <w:rPr>
          <w:rFonts w:ascii="Segoe UI" w:hAnsi="Segoe UI" w:cs="Segoe UI"/>
          <w:sz w:val="18"/>
          <w:szCs w:val="18"/>
        </w:rPr>
      </w:pPr>
      <w:r>
        <w:rPr>
          <w:rStyle w:val="normaltextrun"/>
          <w:sz w:val="22"/>
        </w:rPr>
        <w:t>While we move into a brave new world of technology, green living, and online communication</w:t>
      </w:r>
      <w:r w:rsidR="000B7C1C">
        <w:rPr>
          <w:rStyle w:val="normaltextrun"/>
          <w:rFonts w:ascii="Calibri" w:eastAsiaTheme="majorEastAsia" w:hAnsi="Calibri" w:cs="Calibri"/>
          <w:sz w:val="22"/>
        </w:rPr>
        <w:t xml:space="preserve"> - </w:t>
      </w:r>
      <w:r>
        <w:rPr>
          <w:rStyle w:val="normaltextrun"/>
          <w:sz w:val="22"/>
        </w:rPr>
        <w:t>we need to realise everybody moves at different paces and h</w:t>
      </w:r>
      <w:r w:rsidR="000B7C1C">
        <w:rPr>
          <w:rStyle w:val="normaltextrun"/>
          <w:rFonts w:ascii="Calibri" w:eastAsiaTheme="majorEastAsia" w:hAnsi="Calibri" w:cs="Calibri"/>
          <w:sz w:val="22"/>
        </w:rPr>
        <w:t>as</w:t>
      </w:r>
      <w:r>
        <w:rPr>
          <w:rStyle w:val="normaltextrun"/>
          <w:sz w:val="22"/>
        </w:rPr>
        <w:t xml:space="preserve"> different ranges of ability regarding tech. This may range to how information is received by a person, to how they outwardly communicate… and even check ins to medical/health centres. A period of levelling up and </w:t>
      </w:r>
      <w:r>
        <w:rPr>
          <w:rStyle w:val="normaltextrun"/>
          <w:sz w:val="22"/>
        </w:rPr>
        <w:lastRenderedPageBreak/>
        <w:t>knowledge sharing is needed to mitigate concerns of digital exclusion.</w:t>
      </w:r>
      <w:r>
        <w:rPr>
          <w:rStyle w:val="eop"/>
          <w:rFonts w:ascii="Calibri" w:hAnsi="Calibri" w:cs="Calibri"/>
          <w:sz w:val="22"/>
        </w:rPr>
        <w:t> </w:t>
      </w:r>
      <w:r w:rsidR="000B7C1C">
        <w:rPr>
          <w:rStyle w:val="eop"/>
          <w:rFonts w:ascii="Calibri" w:hAnsi="Calibri" w:cs="Calibri"/>
          <w:sz w:val="22"/>
        </w:rPr>
        <w:br/>
      </w:r>
    </w:p>
    <w:p w14:paraId="29A2D120" w14:textId="77777777" w:rsidR="000B7C1C" w:rsidRDefault="000F5A42" w:rsidP="0054238E">
      <w:pPr>
        <w:rPr>
          <w:rStyle w:val="normaltextrun"/>
          <w:rFonts w:ascii="Calibri" w:eastAsiaTheme="majorEastAsia" w:hAnsi="Calibri" w:cs="Calibri"/>
          <w:sz w:val="22"/>
        </w:rPr>
      </w:pPr>
      <w:r>
        <w:rPr>
          <w:rStyle w:val="normaltextrun"/>
          <w:sz w:val="22"/>
        </w:rPr>
        <w:t xml:space="preserve">Let us not stop </w:t>
      </w:r>
      <w:r w:rsidR="000B7C1C">
        <w:rPr>
          <w:rStyle w:val="normaltextrun"/>
          <w:rFonts w:ascii="Calibri" w:eastAsiaTheme="majorEastAsia" w:hAnsi="Calibri" w:cs="Calibri"/>
          <w:sz w:val="22"/>
        </w:rPr>
        <w:t>s</w:t>
      </w:r>
      <w:r>
        <w:rPr>
          <w:rStyle w:val="normaltextrun"/>
          <w:sz w:val="22"/>
        </w:rPr>
        <w:t>ignposting but make it more effective!</w:t>
      </w:r>
    </w:p>
    <w:p w14:paraId="21DA049C" w14:textId="410CF86A" w:rsidR="000F5A42" w:rsidRDefault="000F5A42" w:rsidP="0054238E">
      <w:pPr>
        <w:rPr>
          <w:rFonts w:ascii="Segoe UI" w:hAnsi="Segoe UI" w:cs="Segoe UI"/>
          <w:sz w:val="18"/>
          <w:szCs w:val="18"/>
        </w:rPr>
      </w:pPr>
      <w:r>
        <w:rPr>
          <w:rStyle w:val="normaltextrun"/>
          <w:sz w:val="22"/>
        </w:rPr>
        <w:t xml:space="preserve">One thing that came up during the forum was how overwhelming signposting is, almost leading to people becoming sign blind! To move forward effective signposting will be needed via a strong central database of people to access, enhancing established social prescribing, and creating more capacity to deliver high-quality interventions </w:t>
      </w:r>
      <w:r>
        <w:rPr>
          <w:rStyle w:val="normaltextrun"/>
          <w:i/>
          <w:iCs/>
          <w:sz w:val="22"/>
        </w:rPr>
        <w:t>‘we need more doers!’</w:t>
      </w:r>
      <w:r>
        <w:rPr>
          <w:rStyle w:val="eop"/>
          <w:rFonts w:ascii="Calibri" w:hAnsi="Calibri" w:cs="Calibri"/>
          <w:sz w:val="22"/>
        </w:rPr>
        <w:t> </w:t>
      </w:r>
      <w:r w:rsidR="000B7C1C">
        <w:rPr>
          <w:rStyle w:val="eop"/>
          <w:rFonts w:ascii="Calibri" w:hAnsi="Calibri" w:cs="Calibri"/>
          <w:sz w:val="22"/>
        </w:rPr>
        <w:br/>
      </w:r>
    </w:p>
    <w:p w14:paraId="43EFAAFD" w14:textId="34C3A972" w:rsidR="000F5A42" w:rsidRDefault="000F5A42" w:rsidP="0054238E">
      <w:pPr>
        <w:rPr>
          <w:rStyle w:val="eop"/>
          <w:rFonts w:ascii="Calibri" w:hAnsi="Calibri" w:cs="Calibri"/>
          <w:sz w:val="22"/>
        </w:rPr>
      </w:pPr>
      <w:r>
        <w:rPr>
          <w:rStyle w:val="normaltextrun"/>
          <w:sz w:val="22"/>
        </w:rPr>
        <w:t>Innovation in the VCFSE ability to flex and respond to create and deliver interventions that are meaningful to beneficiaries is a key asset of the sector. The ability to deliver holistic interventions that are accessible and framed within interventions that blend positive activities that are accessible and responsive with agility. This was felt to be reflected in the growing and diverse offer within the forum membership. Further the VCFSE approach to create holistic interventions through collaborations with each other was seen as a powerful measure of good practice that could be replicated across other stakeholder partnerships.</w:t>
      </w:r>
      <w:r>
        <w:rPr>
          <w:rStyle w:val="eop"/>
          <w:rFonts w:ascii="Calibri" w:hAnsi="Calibri" w:cs="Calibri"/>
          <w:sz w:val="22"/>
        </w:rPr>
        <w:t> </w:t>
      </w:r>
    </w:p>
    <w:p w14:paraId="51483B87" w14:textId="5B207DF6" w:rsidR="000F5A42" w:rsidRDefault="000F5A42" w:rsidP="000F5A42">
      <w:pPr>
        <w:pStyle w:val="paragraph"/>
        <w:spacing w:before="0" w:beforeAutospacing="0" w:after="0" w:afterAutospacing="0"/>
        <w:textAlignment w:val="baseline"/>
        <w:rPr>
          <w:rStyle w:val="eop"/>
          <w:rFonts w:ascii="Calibri" w:hAnsi="Calibri" w:cs="Calibri"/>
          <w:sz w:val="22"/>
          <w:szCs w:val="22"/>
        </w:rPr>
      </w:pPr>
    </w:p>
    <w:p w14:paraId="088D30FE" w14:textId="415CAA6C" w:rsidR="000F5A42" w:rsidRDefault="000F5A42" w:rsidP="000F5A42">
      <w:pPr>
        <w:pStyle w:val="Heading2"/>
        <w:numPr>
          <w:ilvl w:val="1"/>
          <w:numId w:val="5"/>
        </w:numPr>
      </w:pPr>
      <w:r w:rsidRPr="000F5A42">
        <w:t>The right money at the right time</w:t>
      </w:r>
      <w:r w:rsidR="000B7C1C">
        <w:br/>
      </w:r>
    </w:p>
    <w:p w14:paraId="53426A54" w14:textId="6BF9B5BE" w:rsidR="000F5A42" w:rsidRPr="0054238E" w:rsidRDefault="000F5A42" w:rsidP="001B3088">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54238E">
        <w:rPr>
          <w:rStyle w:val="normaltextrun"/>
          <w:rFonts w:asciiTheme="minorHAnsi" w:eastAsiaTheme="majorEastAsia" w:hAnsiTheme="minorHAnsi" w:cstheme="minorHAnsi"/>
          <w:sz w:val="22"/>
          <w:szCs w:val="22"/>
        </w:rPr>
        <w:t>Commissioning Specifications can stifle the breadth of outcomes the sector can deliver.  Co-design of specifications is crucial</w:t>
      </w:r>
    </w:p>
    <w:p w14:paraId="0958AD0D" w14:textId="77777777" w:rsidR="001B3088" w:rsidRPr="0054238E" w:rsidRDefault="000F5A42" w:rsidP="001B3088">
      <w:pPr>
        <w:pStyle w:val="paragraph"/>
        <w:numPr>
          <w:ilvl w:val="0"/>
          <w:numId w:val="16"/>
        </w:numPr>
        <w:spacing w:before="0" w:beforeAutospacing="0" w:after="0" w:afterAutospacing="0"/>
        <w:textAlignment w:val="baseline"/>
        <w:rPr>
          <w:rFonts w:asciiTheme="minorHAnsi" w:hAnsiTheme="minorHAnsi" w:cstheme="minorHAnsi"/>
          <w:sz w:val="22"/>
          <w:szCs w:val="22"/>
        </w:rPr>
      </w:pPr>
      <w:r w:rsidRPr="0054238E">
        <w:rPr>
          <w:rStyle w:val="normaltextrun"/>
          <w:rFonts w:asciiTheme="minorHAnsi" w:eastAsiaTheme="majorEastAsia" w:hAnsiTheme="minorHAnsi" w:cstheme="minorHAnsi"/>
          <w:sz w:val="22"/>
          <w:szCs w:val="22"/>
        </w:rPr>
        <w:t>Trust VCFSE to deliver</w:t>
      </w:r>
    </w:p>
    <w:p w14:paraId="6714B22F" w14:textId="77777777" w:rsidR="001B3088" w:rsidRPr="0054238E" w:rsidRDefault="000F5A42" w:rsidP="001B3088">
      <w:pPr>
        <w:pStyle w:val="paragraph"/>
        <w:numPr>
          <w:ilvl w:val="0"/>
          <w:numId w:val="16"/>
        </w:numPr>
        <w:spacing w:before="0" w:beforeAutospacing="0" w:after="0" w:afterAutospacing="0"/>
        <w:textAlignment w:val="baseline"/>
        <w:rPr>
          <w:rFonts w:asciiTheme="minorHAnsi" w:hAnsiTheme="minorHAnsi" w:cstheme="minorHAnsi"/>
          <w:sz w:val="22"/>
          <w:szCs w:val="22"/>
        </w:rPr>
      </w:pPr>
      <w:r w:rsidRPr="0054238E">
        <w:rPr>
          <w:rStyle w:val="normaltextrun"/>
          <w:rFonts w:asciiTheme="minorHAnsi" w:eastAsiaTheme="majorEastAsia" w:hAnsiTheme="minorHAnsi" w:cstheme="minorHAnsi"/>
          <w:sz w:val="22"/>
          <w:szCs w:val="22"/>
        </w:rPr>
        <w:t>Commissioners need to be proportionate with the paperwork!</w:t>
      </w:r>
      <w:r w:rsidRPr="0054238E">
        <w:rPr>
          <w:rStyle w:val="eop"/>
          <w:rFonts w:asciiTheme="minorHAnsi" w:hAnsiTheme="minorHAnsi" w:cstheme="minorHAnsi"/>
          <w:sz w:val="22"/>
          <w:szCs w:val="22"/>
        </w:rPr>
        <w:t> </w:t>
      </w:r>
    </w:p>
    <w:p w14:paraId="1E08218A" w14:textId="77777777" w:rsidR="001B3088" w:rsidRPr="0054238E" w:rsidRDefault="000F5A42" w:rsidP="001B3088">
      <w:pPr>
        <w:pStyle w:val="paragraph"/>
        <w:numPr>
          <w:ilvl w:val="0"/>
          <w:numId w:val="16"/>
        </w:numPr>
        <w:spacing w:before="0" w:beforeAutospacing="0" w:after="0" w:afterAutospacing="0"/>
        <w:textAlignment w:val="baseline"/>
        <w:rPr>
          <w:rFonts w:asciiTheme="minorHAnsi" w:hAnsiTheme="minorHAnsi" w:cstheme="minorHAnsi"/>
          <w:sz w:val="22"/>
          <w:szCs w:val="22"/>
        </w:rPr>
      </w:pPr>
      <w:r w:rsidRPr="0054238E">
        <w:rPr>
          <w:rStyle w:val="normaltextrun"/>
          <w:rFonts w:asciiTheme="minorHAnsi" w:eastAsiaTheme="majorEastAsia" w:hAnsiTheme="minorHAnsi" w:cstheme="minorHAnsi"/>
          <w:sz w:val="22"/>
          <w:szCs w:val="22"/>
        </w:rPr>
        <w:t>Monitoring and Evaluation needs to be proportionate to the scale of the intervention commissioned</w:t>
      </w:r>
    </w:p>
    <w:p w14:paraId="5E8FCB65" w14:textId="38FB6F65" w:rsidR="000F5A42" w:rsidRPr="0054238E" w:rsidRDefault="000F5A42" w:rsidP="001B3088">
      <w:pPr>
        <w:pStyle w:val="paragraph"/>
        <w:numPr>
          <w:ilvl w:val="0"/>
          <w:numId w:val="16"/>
        </w:numPr>
        <w:spacing w:before="0" w:beforeAutospacing="0" w:after="0" w:afterAutospacing="0"/>
        <w:textAlignment w:val="baseline"/>
        <w:rPr>
          <w:rStyle w:val="eop"/>
          <w:rFonts w:asciiTheme="minorHAnsi" w:hAnsiTheme="minorHAnsi" w:cstheme="minorHAnsi"/>
          <w:sz w:val="22"/>
          <w:szCs w:val="22"/>
        </w:rPr>
      </w:pPr>
      <w:r w:rsidRPr="0054238E">
        <w:rPr>
          <w:rStyle w:val="normaltextrun"/>
          <w:rFonts w:asciiTheme="minorHAnsi" w:eastAsiaTheme="majorEastAsia" w:hAnsiTheme="minorHAnsi" w:cstheme="minorHAnsi"/>
          <w:sz w:val="22"/>
          <w:szCs w:val="22"/>
        </w:rPr>
        <w:t>Core costs being covered is key, they are indirect delivery costs</w:t>
      </w:r>
      <w:r w:rsidRPr="0054238E">
        <w:rPr>
          <w:rStyle w:val="eop"/>
          <w:rFonts w:asciiTheme="minorHAnsi" w:hAnsiTheme="minorHAnsi" w:cstheme="minorHAnsi"/>
          <w:sz w:val="22"/>
          <w:szCs w:val="22"/>
        </w:rPr>
        <w:t> </w:t>
      </w:r>
    </w:p>
    <w:p w14:paraId="20ED3B60" w14:textId="77777777" w:rsidR="001B3088" w:rsidRPr="0054238E" w:rsidRDefault="001B3088" w:rsidP="001B3088">
      <w:pPr>
        <w:pStyle w:val="paragraph"/>
        <w:spacing w:before="0" w:beforeAutospacing="0" w:after="0" w:afterAutospacing="0"/>
        <w:ind w:left="720"/>
        <w:textAlignment w:val="baseline"/>
        <w:rPr>
          <w:rFonts w:asciiTheme="minorHAnsi" w:hAnsiTheme="minorHAnsi" w:cstheme="minorHAnsi"/>
          <w:sz w:val="22"/>
          <w:szCs w:val="22"/>
        </w:rPr>
      </w:pPr>
    </w:p>
    <w:p w14:paraId="4D7ACD37" w14:textId="77777777" w:rsidR="000F5A42" w:rsidRPr="0054238E" w:rsidRDefault="000F5A42" w:rsidP="000F5A42">
      <w:pPr>
        <w:pStyle w:val="paragraph"/>
        <w:spacing w:before="0" w:beforeAutospacing="0" w:after="0" w:afterAutospacing="0"/>
        <w:textAlignment w:val="baseline"/>
        <w:rPr>
          <w:rFonts w:asciiTheme="minorHAnsi" w:hAnsiTheme="minorHAnsi" w:cstheme="minorBidi"/>
          <w:sz w:val="18"/>
          <w:szCs w:val="18"/>
        </w:rPr>
      </w:pPr>
      <w:r w:rsidRPr="32D43AFC">
        <w:rPr>
          <w:rStyle w:val="normaltextrun"/>
          <w:rFonts w:asciiTheme="minorHAnsi" w:eastAsiaTheme="majorEastAsia" w:hAnsiTheme="minorHAnsi" w:cstheme="minorBidi"/>
          <w:sz w:val="22"/>
          <w:szCs w:val="22"/>
        </w:rPr>
        <w:t>During the forum it was revealed that many felt there was more ‘trust,’ during the pandemic, specifically with funding and how VCFSE self-organise. However now it has been reported that slowly and surely heavy bureaucracy has crept back in, which adds many layers into prevention and treatment via providers, leaching away limited capacity to deliver because of the time and resource implications involved in responding to funding opportunities. </w:t>
      </w:r>
      <w:r w:rsidRPr="32D43AFC">
        <w:rPr>
          <w:rStyle w:val="eop"/>
          <w:rFonts w:asciiTheme="minorHAnsi" w:hAnsiTheme="minorHAnsi" w:cstheme="minorBidi"/>
          <w:sz w:val="22"/>
          <w:szCs w:val="22"/>
        </w:rPr>
        <w:t> </w:t>
      </w:r>
    </w:p>
    <w:p w14:paraId="1D991516" w14:textId="5641B1DB" w:rsidR="32D43AFC" w:rsidRDefault="32D43AFC" w:rsidP="32D43AFC">
      <w:pPr>
        <w:pStyle w:val="paragraph"/>
        <w:spacing w:before="0" w:beforeAutospacing="0" w:after="0" w:afterAutospacing="0"/>
        <w:rPr>
          <w:rStyle w:val="eop"/>
          <w:rFonts w:asciiTheme="minorHAnsi" w:hAnsiTheme="minorHAnsi" w:cstheme="minorBidi"/>
          <w:sz w:val="22"/>
          <w:szCs w:val="22"/>
        </w:rPr>
      </w:pPr>
    </w:p>
    <w:p w14:paraId="7B1F838E" w14:textId="77777777" w:rsidR="000F5A42" w:rsidRPr="0054238E" w:rsidRDefault="000F5A42" w:rsidP="000F5A42">
      <w:pPr>
        <w:pStyle w:val="paragraph"/>
        <w:spacing w:before="0" w:beforeAutospacing="0" w:after="0" w:afterAutospacing="0"/>
        <w:textAlignment w:val="baseline"/>
        <w:rPr>
          <w:rFonts w:asciiTheme="minorHAnsi" w:hAnsiTheme="minorHAnsi" w:cstheme="minorHAnsi"/>
          <w:sz w:val="18"/>
          <w:szCs w:val="18"/>
        </w:rPr>
      </w:pPr>
      <w:r w:rsidRPr="0054238E">
        <w:rPr>
          <w:rStyle w:val="normaltextrun"/>
          <w:rFonts w:asciiTheme="minorHAnsi" w:eastAsiaTheme="majorEastAsia" w:hAnsiTheme="minorHAnsi" w:cstheme="minorHAnsi"/>
          <w:sz w:val="22"/>
          <w:szCs w:val="22"/>
        </w:rPr>
        <w:t>Contract flexibility enables VCFSE to plug gaps when support is needed for people who do not particularly fit into boxes to be ticked. As the complexity of the issues becomes more wide ranging, we need to realise that box ticking missions and stiff contracts will not work, we need to notice those who fall into the grey areas and can quickly flex and respond.</w:t>
      </w:r>
      <w:r w:rsidRPr="0054238E">
        <w:rPr>
          <w:rStyle w:val="eop"/>
          <w:rFonts w:asciiTheme="minorHAnsi" w:hAnsiTheme="minorHAnsi" w:cstheme="minorHAnsi"/>
          <w:sz w:val="22"/>
          <w:szCs w:val="22"/>
        </w:rPr>
        <w:t> </w:t>
      </w:r>
    </w:p>
    <w:p w14:paraId="70363BA7" w14:textId="260614FB" w:rsidR="000F5A42" w:rsidRDefault="000F5A42" w:rsidP="000F5A42">
      <w:pPr>
        <w:ind w:left="360"/>
      </w:pPr>
    </w:p>
    <w:p w14:paraId="525F97CE" w14:textId="1B02CE4C" w:rsidR="000F5A42" w:rsidRDefault="000F5A42" w:rsidP="000F5A42">
      <w:pPr>
        <w:pStyle w:val="Heading2"/>
        <w:numPr>
          <w:ilvl w:val="1"/>
          <w:numId w:val="5"/>
        </w:numPr>
      </w:pPr>
      <w:r w:rsidRPr="000F5A42">
        <w:t>Supporting VCFSE responses</w:t>
      </w:r>
      <w:r w:rsidR="000B7C1C">
        <w:br/>
      </w:r>
    </w:p>
    <w:p w14:paraId="13A213CC" w14:textId="77777777" w:rsidR="00952C1E" w:rsidRPr="0054238E" w:rsidRDefault="00141E7F" w:rsidP="00952C1E">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54238E">
        <w:rPr>
          <w:rStyle w:val="normaltextrun"/>
          <w:rFonts w:asciiTheme="minorHAnsi" w:eastAsiaTheme="majorEastAsia" w:hAnsiTheme="minorHAnsi" w:cstheme="minorHAnsi"/>
          <w:sz w:val="22"/>
          <w:szCs w:val="22"/>
        </w:rPr>
        <w:t>Role for One Knowsley to enable and support collaborations (e.g., networking opportunities, promoting group setting offers)</w:t>
      </w:r>
      <w:r w:rsidRPr="0054238E">
        <w:rPr>
          <w:rStyle w:val="eop"/>
          <w:rFonts w:asciiTheme="minorHAnsi" w:hAnsiTheme="minorHAnsi" w:cstheme="minorHAnsi"/>
          <w:sz w:val="22"/>
          <w:szCs w:val="22"/>
        </w:rPr>
        <w:t> </w:t>
      </w:r>
    </w:p>
    <w:p w14:paraId="6A73E98E" w14:textId="77777777" w:rsidR="00952C1E" w:rsidRPr="0054238E" w:rsidRDefault="00141E7F" w:rsidP="00952C1E">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54238E">
        <w:rPr>
          <w:rStyle w:val="normaltextrun"/>
          <w:rFonts w:asciiTheme="minorHAnsi" w:eastAsiaTheme="majorEastAsia" w:hAnsiTheme="minorHAnsi" w:cstheme="minorHAnsi"/>
          <w:sz w:val="22"/>
          <w:szCs w:val="22"/>
        </w:rPr>
        <w:t>Charitable Trusts and Foundations enable the innovation and creativity of interventions; however, this is a limited funding landscape.</w:t>
      </w:r>
      <w:r w:rsidRPr="0054238E">
        <w:rPr>
          <w:rStyle w:val="eop"/>
          <w:rFonts w:asciiTheme="minorHAnsi" w:hAnsiTheme="minorHAnsi" w:cstheme="minorHAnsi"/>
          <w:sz w:val="22"/>
          <w:szCs w:val="22"/>
        </w:rPr>
        <w:t> </w:t>
      </w:r>
    </w:p>
    <w:p w14:paraId="749DA756" w14:textId="77777777" w:rsidR="00952C1E" w:rsidRPr="0054238E" w:rsidRDefault="00141E7F" w:rsidP="00952C1E">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54238E">
        <w:rPr>
          <w:rStyle w:val="normaltextrun"/>
          <w:rFonts w:asciiTheme="minorHAnsi" w:eastAsiaTheme="majorEastAsia" w:hAnsiTheme="minorHAnsi" w:cstheme="minorHAnsi"/>
          <w:sz w:val="22"/>
          <w:szCs w:val="22"/>
        </w:rPr>
        <w:t>Challenges with accessing funding, can public sector help with capacity?</w:t>
      </w:r>
      <w:r w:rsidRPr="0054238E">
        <w:rPr>
          <w:rStyle w:val="eop"/>
          <w:rFonts w:asciiTheme="minorHAnsi" w:hAnsiTheme="minorHAnsi" w:cstheme="minorHAnsi"/>
          <w:sz w:val="22"/>
          <w:szCs w:val="22"/>
        </w:rPr>
        <w:t> </w:t>
      </w:r>
    </w:p>
    <w:p w14:paraId="10F78761" w14:textId="2977D11A" w:rsidR="00141E7F" w:rsidRPr="0054238E" w:rsidRDefault="00141E7F" w:rsidP="00952C1E">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54238E">
        <w:rPr>
          <w:rStyle w:val="normaltextrun"/>
          <w:rFonts w:asciiTheme="minorHAnsi" w:eastAsiaTheme="majorEastAsia" w:hAnsiTheme="minorHAnsi" w:cstheme="minorHAnsi"/>
          <w:sz w:val="22"/>
          <w:szCs w:val="22"/>
        </w:rPr>
        <w:t>Trust the insight from the sector about the best way to secure outcomes</w:t>
      </w:r>
      <w:r w:rsidRPr="0054238E">
        <w:rPr>
          <w:rStyle w:val="eop"/>
          <w:rFonts w:asciiTheme="minorHAnsi" w:hAnsiTheme="minorHAnsi" w:cstheme="minorHAnsi"/>
          <w:sz w:val="22"/>
          <w:szCs w:val="22"/>
        </w:rPr>
        <w:t> </w:t>
      </w:r>
    </w:p>
    <w:p w14:paraId="32B22A8D" w14:textId="740CFB71" w:rsidR="000F5A42" w:rsidRPr="0054238E" w:rsidRDefault="000F5A42" w:rsidP="000F5A42">
      <w:pPr>
        <w:ind w:left="360"/>
        <w:rPr>
          <w:rFonts w:cstheme="minorHAnsi"/>
        </w:rPr>
      </w:pPr>
    </w:p>
    <w:p w14:paraId="756A3F24" w14:textId="77777777" w:rsidR="00141E7F" w:rsidRPr="0054238E" w:rsidRDefault="00141E7F" w:rsidP="00141E7F">
      <w:pPr>
        <w:pStyle w:val="paragraph"/>
        <w:spacing w:before="0" w:beforeAutospacing="0" w:after="0" w:afterAutospacing="0"/>
        <w:textAlignment w:val="baseline"/>
        <w:rPr>
          <w:rFonts w:asciiTheme="minorHAnsi" w:hAnsiTheme="minorHAnsi" w:cstheme="minorBidi"/>
          <w:sz w:val="18"/>
          <w:szCs w:val="18"/>
        </w:rPr>
      </w:pPr>
      <w:r w:rsidRPr="32D43AFC">
        <w:rPr>
          <w:rStyle w:val="normaltextrun"/>
          <w:rFonts w:asciiTheme="minorHAnsi" w:hAnsiTheme="minorHAnsi" w:cstheme="minorBidi"/>
          <w:sz w:val="22"/>
          <w:szCs w:val="22"/>
        </w:rPr>
        <w:lastRenderedPageBreak/>
        <w:t>The role of One Knowsley as the VCFSE / borough’s social infrastructure support body was discussed at length. </w:t>
      </w:r>
      <w:r w:rsidRPr="32D43AFC">
        <w:rPr>
          <w:rStyle w:val="eop"/>
          <w:rFonts w:asciiTheme="minorHAnsi" w:eastAsiaTheme="majorEastAsia" w:hAnsiTheme="minorHAnsi" w:cstheme="minorBidi"/>
          <w:sz w:val="22"/>
          <w:szCs w:val="22"/>
        </w:rPr>
        <w:t> </w:t>
      </w:r>
    </w:p>
    <w:p w14:paraId="51D3BD47" w14:textId="321A73D0" w:rsidR="32D43AFC" w:rsidRDefault="32D43AFC" w:rsidP="32D43AFC">
      <w:pPr>
        <w:pStyle w:val="paragraph"/>
        <w:spacing w:before="0" w:beforeAutospacing="0" w:after="0" w:afterAutospacing="0"/>
        <w:rPr>
          <w:rStyle w:val="eop"/>
          <w:rFonts w:asciiTheme="minorHAnsi" w:eastAsiaTheme="majorEastAsia" w:hAnsiTheme="minorHAnsi" w:cstheme="minorBidi"/>
          <w:sz w:val="22"/>
          <w:szCs w:val="22"/>
        </w:rPr>
      </w:pPr>
    </w:p>
    <w:p w14:paraId="08055060" w14:textId="77777777" w:rsidR="00141E7F" w:rsidRPr="0054238E" w:rsidRDefault="00141E7F" w:rsidP="00141E7F">
      <w:pPr>
        <w:pStyle w:val="paragraph"/>
        <w:spacing w:before="0" w:beforeAutospacing="0" w:after="0" w:afterAutospacing="0"/>
        <w:textAlignment w:val="baseline"/>
        <w:rPr>
          <w:rFonts w:asciiTheme="minorHAnsi" w:hAnsiTheme="minorHAnsi" w:cstheme="minorBidi"/>
          <w:sz w:val="18"/>
          <w:szCs w:val="18"/>
        </w:rPr>
      </w:pPr>
      <w:r w:rsidRPr="32D43AFC">
        <w:rPr>
          <w:rStyle w:val="normaltextrun"/>
          <w:rFonts w:asciiTheme="minorHAnsi" w:hAnsiTheme="minorHAnsi" w:cstheme="minorBidi"/>
          <w:sz w:val="22"/>
          <w:szCs w:val="22"/>
        </w:rPr>
        <w:t>Firstly, One Knowsley can help with continuing to provide Social Prescribing. It was felt that models like One Knowsley’s work… the right referral at the right time (for the individual and the group setting) with capacity building support to the group setting from One Knowsley model, rather than other models which can overwhelm the sector with signposting. Learning from this model should be promoted and cascaded to influence approaches to working with VCFSE that secure strong outcomes (resilience and capacity) for group settings. </w:t>
      </w:r>
      <w:r w:rsidRPr="32D43AFC">
        <w:rPr>
          <w:rStyle w:val="eop"/>
          <w:rFonts w:asciiTheme="minorHAnsi" w:eastAsiaTheme="majorEastAsia" w:hAnsiTheme="minorHAnsi" w:cstheme="minorBidi"/>
          <w:sz w:val="22"/>
          <w:szCs w:val="22"/>
        </w:rPr>
        <w:t> </w:t>
      </w:r>
    </w:p>
    <w:p w14:paraId="639A9B27" w14:textId="28BD16FF" w:rsidR="32D43AFC" w:rsidRDefault="32D43AFC" w:rsidP="32D43AFC">
      <w:pPr>
        <w:pStyle w:val="paragraph"/>
        <w:spacing w:before="0" w:beforeAutospacing="0" w:after="0" w:afterAutospacing="0"/>
        <w:rPr>
          <w:rStyle w:val="eop"/>
          <w:rFonts w:asciiTheme="minorHAnsi" w:eastAsiaTheme="majorEastAsia" w:hAnsiTheme="minorHAnsi" w:cstheme="minorBidi"/>
          <w:sz w:val="22"/>
          <w:szCs w:val="22"/>
        </w:rPr>
      </w:pPr>
    </w:p>
    <w:p w14:paraId="4EE935EF" w14:textId="77777777" w:rsidR="00141E7F" w:rsidRPr="0054238E" w:rsidRDefault="00141E7F" w:rsidP="00141E7F">
      <w:pPr>
        <w:pStyle w:val="paragraph"/>
        <w:spacing w:before="0" w:beforeAutospacing="0" w:after="0" w:afterAutospacing="0"/>
        <w:textAlignment w:val="baseline"/>
        <w:rPr>
          <w:rFonts w:asciiTheme="minorHAnsi" w:hAnsiTheme="minorHAnsi" w:cstheme="minorBidi"/>
          <w:sz w:val="18"/>
          <w:szCs w:val="18"/>
        </w:rPr>
      </w:pPr>
      <w:r w:rsidRPr="32D43AFC">
        <w:rPr>
          <w:rStyle w:val="normaltextrun"/>
          <w:rFonts w:asciiTheme="minorHAnsi" w:hAnsiTheme="minorHAnsi" w:cstheme="minorBidi"/>
          <w:sz w:val="22"/>
          <w:szCs w:val="22"/>
        </w:rPr>
        <w:t xml:space="preserve">One Knowsley can help with distribution of communications on a timely basis, making sure all are aware of the resources available and that can be shared, creating </w:t>
      </w:r>
      <w:r w:rsidRPr="32D43AFC">
        <w:rPr>
          <w:rStyle w:val="normaltextrun"/>
          <w:rFonts w:asciiTheme="minorHAnsi" w:hAnsiTheme="minorHAnsi" w:cstheme="minorBidi"/>
          <w:i/>
          <w:sz w:val="22"/>
          <w:szCs w:val="22"/>
        </w:rPr>
        <w:t>good practice,</w:t>
      </w:r>
      <w:r w:rsidRPr="32D43AFC">
        <w:rPr>
          <w:rStyle w:val="normaltextrun"/>
          <w:rFonts w:asciiTheme="minorHAnsi" w:hAnsiTheme="minorHAnsi" w:cstheme="minorBidi"/>
          <w:sz w:val="22"/>
          <w:szCs w:val="22"/>
        </w:rPr>
        <w:t xml:space="preserve"> and promoting the use of Court Hey for VCFSE use, enabling more face-to-face networks and wider networking opportunities to take place. </w:t>
      </w:r>
      <w:r w:rsidRPr="32D43AFC">
        <w:rPr>
          <w:rStyle w:val="eop"/>
          <w:rFonts w:asciiTheme="minorHAnsi" w:eastAsiaTheme="majorEastAsia" w:hAnsiTheme="minorHAnsi" w:cstheme="minorBidi"/>
          <w:sz w:val="22"/>
          <w:szCs w:val="22"/>
        </w:rPr>
        <w:t> </w:t>
      </w:r>
    </w:p>
    <w:p w14:paraId="753B53AD" w14:textId="22C4C156" w:rsidR="32D43AFC" w:rsidRDefault="32D43AFC" w:rsidP="32D43AFC">
      <w:pPr>
        <w:pStyle w:val="paragraph"/>
        <w:spacing w:before="0" w:beforeAutospacing="0" w:after="0" w:afterAutospacing="0"/>
        <w:rPr>
          <w:rStyle w:val="eop"/>
          <w:rFonts w:asciiTheme="minorHAnsi" w:eastAsiaTheme="majorEastAsia" w:hAnsiTheme="minorHAnsi" w:cstheme="minorBidi"/>
          <w:sz w:val="22"/>
          <w:szCs w:val="22"/>
        </w:rPr>
      </w:pPr>
    </w:p>
    <w:p w14:paraId="63C70177" w14:textId="77777777" w:rsidR="00141E7F" w:rsidRPr="0054238E" w:rsidRDefault="00141E7F" w:rsidP="00141E7F">
      <w:pPr>
        <w:pStyle w:val="paragraph"/>
        <w:spacing w:before="0" w:beforeAutospacing="0" w:after="0" w:afterAutospacing="0"/>
        <w:textAlignment w:val="baseline"/>
        <w:rPr>
          <w:rFonts w:asciiTheme="minorHAnsi" w:hAnsiTheme="minorHAnsi" w:cstheme="minorBidi"/>
          <w:sz w:val="18"/>
          <w:szCs w:val="18"/>
        </w:rPr>
      </w:pPr>
      <w:r w:rsidRPr="32D43AFC">
        <w:rPr>
          <w:rStyle w:val="normaltextrun"/>
          <w:rFonts w:asciiTheme="minorHAnsi" w:hAnsiTheme="minorHAnsi" w:cstheme="minorBidi"/>
          <w:sz w:val="22"/>
          <w:szCs w:val="22"/>
        </w:rPr>
        <w:t>Charitable Trusts and Foundations enable the innovation and creativity of interventions; however, this is a limited funding landscape, creating challenges with accessing funding, can public sector help with capacity? We need to explore the idea of collaborating with the public and private sector for funding from their charitable arms.</w:t>
      </w:r>
      <w:r w:rsidRPr="32D43AFC">
        <w:rPr>
          <w:rStyle w:val="eop"/>
          <w:rFonts w:asciiTheme="minorHAnsi" w:eastAsiaTheme="majorEastAsia" w:hAnsiTheme="minorHAnsi" w:cstheme="minorBidi"/>
          <w:sz w:val="22"/>
          <w:szCs w:val="22"/>
        </w:rPr>
        <w:t> </w:t>
      </w:r>
    </w:p>
    <w:p w14:paraId="6A6D8F84" w14:textId="1FBFFC5A" w:rsidR="32D43AFC" w:rsidRDefault="32D43AFC" w:rsidP="32D43AFC">
      <w:pPr>
        <w:pStyle w:val="paragraph"/>
        <w:spacing w:before="0" w:beforeAutospacing="0" w:after="0" w:afterAutospacing="0"/>
        <w:rPr>
          <w:rStyle w:val="eop"/>
          <w:rFonts w:asciiTheme="minorHAnsi" w:eastAsiaTheme="majorEastAsia" w:hAnsiTheme="minorHAnsi" w:cstheme="minorBidi"/>
          <w:sz w:val="22"/>
          <w:szCs w:val="22"/>
        </w:rPr>
      </w:pPr>
    </w:p>
    <w:p w14:paraId="649024CB" w14:textId="77777777" w:rsidR="00141E7F" w:rsidRPr="0054238E" w:rsidRDefault="00141E7F" w:rsidP="00141E7F">
      <w:pPr>
        <w:pStyle w:val="paragraph"/>
        <w:spacing w:before="0" w:beforeAutospacing="0" w:after="0" w:afterAutospacing="0"/>
        <w:textAlignment w:val="baseline"/>
        <w:rPr>
          <w:rFonts w:asciiTheme="minorHAnsi" w:hAnsiTheme="minorHAnsi" w:cstheme="minorHAnsi"/>
          <w:sz w:val="18"/>
          <w:szCs w:val="18"/>
        </w:rPr>
      </w:pPr>
      <w:r w:rsidRPr="0054238E">
        <w:rPr>
          <w:rStyle w:val="normaltextrun"/>
          <w:rFonts w:asciiTheme="minorHAnsi" w:hAnsiTheme="minorHAnsi" w:cstheme="minorHAnsi"/>
          <w:sz w:val="22"/>
          <w:szCs w:val="22"/>
        </w:rPr>
        <w:t>The role of the public sector included the approach to commissioning with co-design, early engagement with VCFSE and proportional funding models. Further the role of the public sector in enabling excellent quality signposting to the sector, trusting the expertise and professionalism within the sectors interventions was identified as a key enabler to VCFSE activity. Trust and parity in the relationship between VCFSE and public sector bodies was felt to be crucial but not always equitable in group settings.</w:t>
      </w:r>
      <w:r w:rsidRPr="0054238E">
        <w:rPr>
          <w:rStyle w:val="eop"/>
          <w:rFonts w:asciiTheme="minorHAnsi" w:eastAsiaTheme="majorEastAsia" w:hAnsiTheme="minorHAnsi" w:cstheme="minorHAnsi"/>
          <w:sz w:val="22"/>
          <w:szCs w:val="22"/>
        </w:rPr>
        <w:t> </w:t>
      </w:r>
    </w:p>
    <w:p w14:paraId="31170B13" w14:textId="4DDEC640" w:rsidR="00141E7F" w:rsidRDefault="00141E7F" w:rsidP="000F5A42">
      <w:pPr>
        <w:ind w:left="360"/>
      </w:pPr>
    </w:p>
    <w:p w14:paraId="76686B39" w14:textId="55B10403" w:rsidR="00141E7F" w:rsidRPr="000F5A42" w:rsidRDefault="00141E7F" w:rsidP="00141E7F">
      <w:pPr>
        <w:pStyle w:val="Heading2"/>
        <w:numPr>
          <w:ilvl w:val="0"/>
          <w:numId w:val="5"/>
        </w:numPr>
      </w:pPr>
      <w:r w:rsidRPr="00141E7F">
        <w:t>Summary</w:t>
      </w:r>
      <w:r w:rsidR="000B7C1C">
        <w:br/>
      </w:r>
    </w:p>
    <w:p w14:paraId="54EAD671" w14:textId="77777777" w:rsidR="00141E7F" w:rsidRDefault="00141E7F" w:rsidP="00141E7F">
      <w:pPr>
        <w:rPr>
          <w:sz w:val="22"/>
        </w:rPr>
      </w:pPr>
      <w:r w:rsidRPr="32D43AFC">
        <w:rPr>
          <w:sz w:val="22"/>
        </w:rPr>
        <w:t xml:space="preserve">VCFSE responses are increasing to respond to growing demand and complexity in demand however an overwhelming view was that there is an increasing amount of signposting to VCFSE settings resulting in many forum members delivering interventions above group capacity without appropriate resource including relationships with sign posters.  </w:t>
      </w:r>
    </w:p>
    <w:p w14:paraId="183B9D0E" w14:textId="77777777" w:rsidR="00141E7F" w:rsidRDefault="00141E7F" w:rsidP="00141E7F">
      <w:pPr>
        <w:rPr>
          <w:sz w:val="22"/>
        </w:rPr>
      </w:pPr>
      <w:r w:rsidRPr="32D43AFC">
        <w:rPr>
          <w:sz w:val="22"/>
        </w:rPr>
        <w:t xml:space="preserve">A supportive and enabling funding approach will increase capacity within VCFSE which is under significant pressure as it continues to respond to presenting need outside of resourced capacity. </w:t>
      </w:r>
    </w:p>
    <w:p w14:paraId="4D739324" w14:textId="77777777" w:rsidR="00141E7F" w:rsidRDefault="00141E7F" w:rsidP="00141E7F">
      <w:pPr>
        <w:rPr>
          <w:sz w:val="22"/>
        </w:rPr>
      </w:pPr>
      <w:r w:rsidRPr="32D43AFC">
        <w:rPr>
          <w:sz w:val="22"/>
        </w:rPr>
        <w:t xml:space="preserve">Accessing funding without bureaucracy is crucial to maximise efficiencies for VCFSE group settings and unlock capacity.  </w:t>
      </w:r>
    </w:p>
    <w:p w14:paraId="76C87459" w14:textId="77777777" w:rsidR="00141E7F" w:rsidRDefault="00141E7F" w:rsidP="00141E7F">
      <w:pPr>
        <w:rPr>
          <w:sz w:val="22"/>
        </w:rPr>
      </w:pPr>
      <w:r w:rsidRPr="32D43AFC">
        <w:rPr>
          <w:sz w:val="22"/>
        </w:rPr>
        <w:t xml:space="preserve">There is a clear role in public sector organisations facilitating VCFSE responses through trust, co-design of interventions and proportional and enabling commissioning approaches. </w:t>
      </w:r>
    </w:p>
    <w:p w14:paraId="2AFEDA30" w14:textId="02F3CF18" w:rsidR="00141E7F" w:rsidRPr="000B7C1C" w:rsidRDefault="00141E7F" w:rsidP="00141E7F">
      <w:pPr>
        <w:rPr>
          <w:sz w:val="22"/>
        </w:rPr>
      </w:pPr>
      <w:r w:rsidRPr="32D43AFC">
        <w:rPr>
          <w:sz w:val="22"/>
        </w:rPr>
        <w:t xml:space="preserve">The strength of the agility and innovation as seen within the growing interventions offered by VCFSE to respond to presenting mental health needs in communities alongside the strength of collaborative holistic support is a key asset to be built upon. </w:t>
      </w:r>
      <w:r w:rsidR="000B7C1C">
        <w:br/>
      </w:r>
    </w:p>
    <w:p w14:paraId="7F98332B" w14:textId="1E3B15A2" w:rsidR="00141E7F" w:rsidRPr="000B7C1C" w:rsidRDefault="00141E7F" w:rsidP="00141E7F">
      <w:pPr>
        <w:pStyle w:val="Heading2"/>
        <w:rPr>
          <w:rFonts w:ascii="Segoe UI" w:hAnsi="Segoe UI" w:cs="Segoe UI"/>
          <w:sz w:val="20"/>
          <w:szCs w:val="20"/>
        </w:rPr>
      </w:pPr>
      <w:r w:rsidRPr="000B7C1C">
        <w:rPr>
          <w:rStyle w:val="normaltextrun"/>
          <w:rFonts w:ascii="Calibri" w:hAnsi="Calibri" w:cs="Calibri"/>
          <w:sz w:val="24"/>
          <w:szCs w:val="24"/>
        </w:rPr>
        <w:lastRenderedPageBreak/>
        <w:t>Racheal Jones – CEO (Chief Executive Officer)</w:t>
      </w:r>
      <w:r w:rsidR="000B7C1C" w:rsidRPr="000B7C1C">
        <w:rPr>
          <w:rStyle w:val="normaltextrun"/>
          <w:rFonts w:ascii="Calibri" w:hAnsi="Calibri" w:cs="Calibri"/>
          <w:sz w:val="24"/>
          <w:szCs w:val="24"/>
        </w:rPr>
        <w:t>,</w:t>
      </w:r>
      <w:r w:rsidRPr="000B7C1C">
        <w:rPr>
          <w:rStyle w:val="normaltextrun"/>
          <w:rFonts w:ascii="Calibri" w:hAnsi="Calibri" w:cs="Calibri"/>
          <w:sz w:val="24"/>
          <w:szCs w:val="24"/>
        </w:rPr>
        <w:t xml:space="preserve"> One Knowsley</w:t>
      </w:r>
      <w:r w:rsidRPr="000B7C1C">
        <w:rPr>
          <w:rStyle w:val="eop"/>
          <w:sz w:val="24"/>
          <w:szCs w:val="24"/>
        </w:rPr>
        <w:t> </w:t>
      </w:r>
    </w:p>
    <w:p w14:paraId="0CEFFEE5" w14:textId="1A416522" w:rsidR="00141E7F" w:rsidRPr="000B7C1C" w:rsidRDefault="00141E7F" w:rsidP="00141E7F">
      <w:pPr>
        <w:pStyle w:val="Heading2"/>
        <w:rPr>
          <w:rFonts w:ascii="Segoe UI" w:hAnsi="Segoe UI" w:cs="Segoe UI"/>
          <w:sz w:val="20"/>
          <w:szCs w:val="20"/>
        </w:rPr>
      </w:pPr>
      <w:r w:rsidRPr="000B7C1C">
        <w:rPr>
          <w:rStyle w:val="normaltextrun"/>
          <w:rFonts w:ascii="Calibri" w:hAnsi="Calibri" w:cs="Calibri"/>
          <w:sz w:val="24"/>
          <w:szCs w:val="24"/>
        </w:rPr>
        <w:t xml:space="preserve">Paula Kearns – Sector </w:t>
      </w:r>
      <w:r w:rsidRPr="000B7C1C">
        <w:rPr>
          <w:rStyle w:val="normaltextrun"/>
          <w:rFonts w:ascii="Calibri" w:hAnsi="Calibri" w:cs="Calibri"/>
          <w:sz w:val="24"/>
          <w:szCs w:val="24"/>
        </w:rPr>
        <w:t>Resilience and Capacity</w:t>
      </w:r>
      <w:r w:rsidR="00B33668" w:rsidRPr="000B7C1C">
        <w:rPr>
          <w:rStyle w:val="normaltextrun"/>
          <w:rFonts w:ascii="Calibri" w:hAnsi="Calibri" w:cs="Calibri"/>
          <w:sz w:val="24"/>
          <w:szCs w:val="24"/>
        </w:rPr>
        <w:t xml:space="preserve"> Building</w:t>
      </w:r>
      <w:r w:rsidRPr="000B7C1C">
        <w:rPr>
          <w:rStyle w:val="normaltextrun"/>
          <w:rFonts w:ascii="Calibri" w:hAnsi="Calibri" w:cs="Calibri"/>
          <w:sz w:val="24"/>
          <w:szCs w:val="24"/>
        </w:rPr>
        <w:t xml:space="preserve"> Manager</w:t>
      </w:r>
      <w:r w:rsidR="000B7C1C" w:rsidRPr="000B7C1C">
        <w:rPr>
          <w:rStyle w:val="eop"/>
          <w:rFonts w:ascii="Calibri" w:hAnsi="Calibri" w:cs="Calibri"/>
          <w:sz w:val="24"/>
          <w:szCs w:val="24"/>
        </w:rPr>
        <w:t>, One Knowsley</w:t>
      </w:r>
    </w:p>
    <w:p w14:paraId="6E125DD9" w14:textId="5BB9B207" w:rsidR="00141E7F" w:rsidRDefault="00141E7F" w:rsidP="00141E7F">
      <w:pPr>
        <w:pStyle w:val="Heading2"/>
        <w:rPr>
          <w:rFonts w:ascii="Segoe UI" w:hAnsi="Segoe UI" w:cs="Segoe UI"/>
          <w:sz w:val="18"/>
          <w:szCs w:val="18"/>
        </w:rPr>
      </w:pPr>
      <w:r w:rsidRPr="000B7C1C">
        <w:rPr>
          <w:rStyle w:val="normaltextrun"/>
          <w:rFonts w:ascii="Calibri" w:hAnsi="Calibri" w:cs="Calibri"/>
          <w:sz w:val="24"/>
          <w:szCs w:val="24"/>
        </w:rPr>
        <w:t xml:space="preserve">Jim </w:t>
      </w:r>
      <w:proofErr w:type="spellStart"/>
      <w:r w:rsidRPr="000B7C1C">
        <w:rPr>
          <w:rStyle w:val="normaltextrun"/>
          <w:rFonts w:ascii="Calibri" w:hAnsi="Calibri" w:cs="Calibri"/>
          <w:sz w:val="24"/>
          <w:szCs w:val="24"/>
        </w:rPr>
        <w:t>Bridson</w:t>
      </w:r>
      <w:proofErr w:type="spellEnd"/>
      <w:r w:rsidRPr="000B7C1C">
        <w:rPr>
          <w:rStyle w:val="normaltextrun"/>
          <w:rFonts w:ascii="Calibri" w:hAnsi="Calibri" w:cs="Calibri"/>
          <w:sz w:val="24"/>
          <w:szCs w:val="24"/>
        </w:rPr>
        <w:t xml:space="preserve"> – Sector Development Worker</w:t>
      </w:r>
      <w:r w:rsidR="000B7C1C" w:rsidRPr="000B7C1C">
        <w:rPr>
          <w:rStyle w:val="eop"/>
          <w:rFonts w:ascii="Calibri" w:hAnsi="Calibri" w:cs="Calibri"/>
          <w:sz w:val="24"/>
          <w:szCs w:val="24"/>
        </w:rPr>
        <w:t>, One Knowsley</w:t>
      </w:r>
      <w:r w:rsidR="000B7C1C">
        <w:rPr>
          <w:rStyle w:val="eop"/>
          <w:rFonts w:ascii="Calibri" w:hAnsi="Calibri" w:cs="Calibri"/>
          <w:sz w:val="22"/>
          <w:szCs w:val="22"/>
        </w:rPr>
        <w:br/>
      </w:r>
    </w:p>
    <w:p w14:paraId="51A732AF" w14:textId="77777777" w:rsidR="00141E7F" w:rsidRPr="000B7C1C" w:rsidRDefault="00141E7F" w:rsidP="000B7C1C">
      <w:pPr>
        <w:pStyle w:val="Heading1"/>
      </w:pPr>
      <w:r w:rsidRPr="000B7C1C">
        <w:rPr>
          <w:rStyle w:val="normaltextrun"/>
        </w:rPr>
        <w:t>With thanks to members of One Knowsley VCFSE Mental Health Resilience Forum </w:t>
      </w:r>
      <w:r w:rsidRPr="000B7C1C">
        <w:rPr>
          <w:rStyle w:val="eop"/>
        </w:rPr>
        <w:t> </w:t>
      </w:r>
    </w:p>
    <w:p w14:paraId="0E0534AA" w14:textId="77777777" w:rsidR="00141E7F" w:rsidRDefault="00141E7F" w:rsidP="00141E7F"/>
    <w:p w14:paraId="30982338" w14:textId="77777777" w:rsidR="000F5A42" w:rsidRPr="000F5A42" w:rsidRDefault="000F5A42" w:rsidP="000F5A42"/>
    <w:sectPr w:rsidR="000F5A42" w:rsidRPr="000F5A4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6D91" w14:textId="77777777" w:rsidR="004102F3" w:rsidRDefault="004102F3" w:rsidP="006F33B3">
      <w:pPr>
        <w:spacing w:after="0" w:line="240" w:lineRule="auto"/>
      </w:pPr>
      <w:r>
        <w:separator/>
      </w:r>
    </w:p>
  </w:endnote>
  <w:endnote w:type="continuationSeparator" w:id="0">
    <w:p w14:paraId="54E960A6" w14:textId="77777777" w:rsidR="004102F3" w:rsidRDefault="004102F3" w:rsidP="006F33B3">
      <w:pPr>
        <w:spacing w:after="0" w:line="240" w:lineRule="auto"/>
      </w:pPr>
      <w:r>
        <w:continuationSeparator/>
      </w:r>
    </w:p>
  </w:endnote>
  <w:endnote w:type="continuationNotice" w:id="1">
    <w:p w14:paraId="33844794" w14:textId="77777777" w:rsidR="002D27C4" w:rsidRDefault="002D27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e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rbane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3A41" w14:textId="77777777" w:rsidR="006F33B3" w:rsidRPr="00A7379B" w:rsidRDefault="00A40EFC">
    <w:pPr>
      <w:pStyle w:val="Footer"/>
      <w:rPr>
        <w:rFonts w:ascii="Urbane Medium" w:hAnsi="Urbane Medium"/>
        <w:b/>
        <w:bCs/>
        <w:color w:val="7D4183" w:themeColor="accent1"/>
        <w:sz w:val="16"/>
        <w:szCs w:val="16"/>
      </w:rPr>
    </w:pPr>
    <w:bookmarkStart w:id="1" w:name="_Hlk114585760"/>
    <w:bookmarkStart w:id="2" w:name="_Hlk114585761"/>
    <w:r w:rsidRPr="00A7379B">
      <w:rPr>
        <w:rFonts w:ascii="Urbane Medium" w:hAnsi="Urbane Medium"/>
        <w:b/>
        <w:bCs/>
        <w:color w:val="375542" w:themeColor="text1"/>
        <w:sz w:val="16"/>
        <w:szCs w:val="16"/>
      </w:rPr>
      <w:t>One Knowsley, Registered Charity No</w:t>
    </w:r>
    <w:r w:rsidRPr="00A7379B">
      <w:rPr>
        <w:rFonts w:ascii="Urbane Medium" w:hAnsi="Urbane Medium"/>
        <w:color w:val="375542" w:themeColor="text1"/>
        <w:sz w:val="16"/>
        <w:szCs w:val="16"/>
      </w:rPr>
      <w:t xml:space="preserve"> 701955     </w:t>
    </w:r>
    <w:r w:rsidRPr="00A7379B">
      <w:rPr>
        <w:rFonts w:ascii="Urbane Medium" w:hAnsi="Urbane Medium"/>
        <w:color w:val="1C7C64" w:themeColor="text2"/>
        <w:sz w:val="16"/>
        <w:szCs w:val="16"/>
      </w:rPr>
      <w:t xml:space="preserve">Limited by Guarantee Registered in England and Wales </w:t>
    </w:r>
    <w:r w:rsidRPr="00A7379B">
      <w:rPr>
        <w:rFonts w:ascii="Urbane Medium" w:hAnsi="Urbane Medium"/>
        <w:b/>
        <w:bCs/>
        <w:color w:val="1C7C64" w:themeColor="text2"/>
        <w:sz w:val="16"/>
        <w:szCs w:val="16"/>
      </w:rPr>
      <w:t>Registered Company No 2401660</w:t>
    </w:r>
    <w:r w:rsidR="00C85BAB" w:rsidRPr="00A7379B">
      <w:rPr>
        <w:rFonts w:ascii="Urbane Medium" w:hAnsi="Urbane Medium"/>
        <w:b/>
        <w:bCs/>
        <w:color w:val="1C7C64" w:themeColor="text2"/>
        <w:sz w:val="16"/>
        <w:szCs w:val="16"/>
      </w:rPr>
      <w:br/>
    </w:r>
    <w:r w:rsidR="00C85BAB" w:rsidRPr="00A7379B">
      <w:rPr>
        <w:rFonts w:ascii="Urbane Medium" w:hAnsi="Urbane Medium"/>
        <w:b/>
        <w:bCs/>
        <w:color w:val="7D4183" w:themeColor="accent1"/>
        <w:sz w:val="16"/>
        <w:szCs w:val="16"/>
      </w:rPr>
      <w:t>One Knowsley</w:t>
    </w:r>
    <w:r w:rsidR="00C85BAB" w:rsidRPr="00A7379B">
      <w:rPr>
        <w:rFonts w:ascii="Urbane Medium" w:hAnsi="Urbane Medium"/>
        <w:color w:val="7D4183" w:themeColor="accent1"/>
        <w:sz w:val="16"/>
        <w:szCs w:val="16"/>
      </w:rPr>
      <w:t xml:space="preserve">, The Courtyard, Court Hey Park, Roby Road, </w:t>
    </w:r>
    <w:proofErr w:type="spellStart"/>
    <w:r w:rsidR="00C85BAB" w:rsidRPr="00A7379B">
      <w:rPr>
        <w:rFonts w:ascii="Urbane Medium" w:hAnsi="Urbane Medium"/>
        <w:color w:val="7D4183" w:themeColor="accent1"/>
        <w:sz w:val="16"/>
        <w:szCs w:val="16"/>
      </w:rPr>
      <w:t>Huyton</w:t>
    </w:r>
    <w:proofErr w:type="spellEnd"/>
    <w:r w:rsidR="00C85BAB" w:rsidRPr="00A7379B">
      <w:rPr>
        <w:rFonts w:ascii="Urbane Medium" w:hAnsi="Urbane Medium"/>
        <w:color w:val="7D4183" w:themeColor="accent1"/>
        <w:sz w:val="16"/>
        <w:szCs w:val="16"/>
      </w:rPr>
      <w:t>, Knowsley, L16 3NA</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E972D" w14:textId="77777777" w:rsidR="004102F3" w:rsidRDefault="004102F3" w:rsidP="006F33B3">
      <w:pPr>
        <w:spacing w:after="0" w:line="240" w:lineRule="auto"/>
      </w:pPr>
      <w:r>
        <w:separator/>
      </w:r>
    </w:p>
  </w:footnote>
  <w:footnote w:type="continuationSeparator" w:id="0">
    <w:p w14:paraId="3BBAAA0A" w14:textId="77777777" w:rsidR="004102F3" w:rsidRDefault="004102F3" w:rsidP="006F33B3">
      <w:pPr>
        <w:spacing w:after="0" w:line="240" w:lineRule="auto"/>
      </w:pPr>
      <w:r>
        <w:continuationSeparator/>
      </w:r>
    </w:p>
  </w:footnote>
  <w:footnote w:type="continuationNotice" w:id="1">
    <w:p w14:paraId="4D4B2AEE" w14:textId="77777777" w:rsidR="002D27C4" w:rsidRDefault="002D27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1F5B" w14:textId="77777777" w:rsidR="006F33B3" w:rsidRDefault="006F33B3">
    <w:pPr>
      <w:pStyle w:val="Header"/>
    </w:pPr>
    <w:r>
      <w:rPr>
        <w:noProof/>
      </w:rPr>
      <w:drawing>
        <wp:anchor distT="0" distB="0" distL="114300" distR="114300" simplePos="0" relativeHeight="251658240" behindDoc="1" locked="0" layoutInCell="1" allowOverlap="1" wp14:anchorId="540073C3" wp14:editId="6BF2CD0E">
          <wp:simplePos x="0" y="0"/>
          <wp:positionH relativeFrom="column">
            <wp:posOffset>5105400</wp:posOffset>
          </wp:positionH>
          <wp:positionV relativeFrom="page">
            <wp:posOffset>198755</wp:posOffset>
          </wp:positionV>
          <wp:extent cx="1170305" cy="551815"/>
          <wp:effectExtent l="0" t="0" r="0" b="635"/>
          <wp:wrapTight wrapText="bothSides">
            <wp:wrapPolygon edited="0">
              <wp:start x="0" y="0"/>
              <wp:lineTo x="0" y="20879"/>
              <wp:lineTo x="21096" y="20879"/>
              <wp:lineTo x="21096"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0305" cy="5518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402F"/>
    <w:multiLevelType w:val="hybridMultilevel"/>
    <w:tmpl w:val="3EC8D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C28C5"/>
    <w:multiLevelType w:val="hybridMultilevel"/>
    <w:tmpl w:val="A224A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E7A1F"/>
    <w:multiLevelType w:val="multilevel"/>
    <w:tmpl w:val="88C8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F624C2"/>
    <w:multiLevelType w:val="hybridMultilevel"/>
    <w:tmpl w:val="9CEA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E1DA2"/>
    <w:multiLevelType w:val="multilevel"/>
    <w:tmpl w:val="24704E3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0A19B5"/>
    <w:multiLevelType w:val="hybridMultilevel"/>
    <w:tmpl w:val="CC881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32112"/>
    <w:multiLevelType w:val="multilevel"/>
    <w:tmpl w:val="D58C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4F5779"/>
    <w:multiLevelType w:val="multilevel"/>
    <w:tmpl w:val="F164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6E1325"/>
    <w:multiLevelType w:val="hybridMultilevel"/>
    <w:tmpl w:val="62AA7DD4"/>
    <w:lvl w:ilvl="0" w:tplc="44D8650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41E55"/>
    <w:multiLevelType w:val="hybridMultilevel"/>
    <w:tmpl w:val="F4B8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D91489"/>
    <w:multiLevelType w:val="multilevel"/>
    <w:tmpl w:val="F4A8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08698F"/>
    <w:multiLevelType w:val="hybridMultilevel"/>
    <w:tmpl w:val="DB22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A66105"/>
    <w:multiLevelType w:val="multilevel"/>
    <w:tmpl w:val="960C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3F5E72"/>
    <w:multiLevelType w:val="hybridMultilevel"/>
    <w:tmpl w:val="2986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6B2F19"/>
    <w:multiLevelType w:val="hybridMultilevel"/>
    <w:tmpl w:val="22AA2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047B92"/>
    <w:multiLevelType w:val="multilevel"/>
    <w:tmpl w:val="B7AE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9A11CB"/>
    <w:multiLevelType w:val="hybridMultilevel"/>
    <w:tmpl w:val="8CC0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0E5516"/>
    <w:multiLevelType w:val="multilevel"/>
    <w:tmpl w:val="C842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62265D"/>
    <w:multiLevelType w:val="hybridMultilevel"/>
    <w:tmpl w:val="138C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F23B7"/>
    <w:multiLevelType w:val="hybridMultilevel"/>
    <w:tmpl w:val="9FF61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1A7A98"/>
    <w:multiLevelType w:val="hybridMultilevel"/>
    <w:tmpl w:val="DFC4F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6061122">
    <w:abstractNumId w:val="20"/>
  </w:num>
  <w:num w:numId="2" w16cid:durableId="227306703">
    <w:abstractNumId w:val="1"/>
  </w:num>
  <w:num w:numId="3" w16cid:durableId="738360906">
    <w:abstractNumId w:val="8"/>
  </w:num>
  <w:num w:numId="4" w16cid:durableId="1986661903">
    <w:abstractNumId w:val="3"/>
  </w:num>
  <w:num w:numId="5" w16cid:durableId="610624075">
    <w:abstractNumId w:val="4"/>
  </w:num>
  <w:num w:numId="6" w16cid:durableId="825557428">
    <w:abstractNumId w:val="12"/>
  </w:num>
  <w:num w:numId="7" w16cid:durableId="919948068">
    <w:abstractNumId w:val="10"/>
  </w:num>
  <w:num w:numId="8" w16cid:durableId="1908495922">
    <w:abstractNumId w:val="2"/>
  </w:num>
  <w:num w:numId="9" w16cid:durableId="2109040186">
    <w:abstractNumId w:val="17"/>
  </w:num>
  <w:num w:numId="10" w16cid:durableId="1321276681">
    <w:abstractNumId w:val="9"/>
  </w:num>
  <w:num w:numId="11" w16cid:durableId="219487170">
    <w:abstractNumId w:val="6"/>
  </w:num>
  <w:num w:numId="12" w16cid:durableId="720904261">
    <w:abstractNumId w:val="7"/>
  </w:num>
  <w:num w:numId="13" w16cid:durableId="729184478">
    <w:abstractNumId w:val="15"/>
  </w:num>
  <w:num w:numId="14" w16cid:durableId="98065728">
    <w:abstractNumId w:val="5"/>
  </w:num>
  <w:num w:numId="15" w16cid:durableId="975795893">
    <w:abstractNumId w:val="13"/>
  </w:num>
  <w:num w:numId="16" w16cid:durableId="1108697659">
    <w:abstractNumId w:val="11"/>
  </w:num>
  <w:num w:numId="17" w16cid:durableId="950665661">
    <w:abstractNumId w:val="16"/>
  </w:num>
  <w:num w:numId="18" w16cid:durableId="1203908456">
    <w:abstractNumId w:val="19"/>
  </w:num>
  <w:num w:numId="19" w16cid:durableId="492646688">
    <w:abstractNumId w:val="18"/>
  </w:num>
  <w:num w:numId="20" w16cid:durableId="771820240">
    <w:abstractNumId w:val="0"/>
  </w:num>
  <w:num w:numId="21" w16cid:durableId="14801496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2F3"/>
    <w:rsid w:val="000048F2"/>
    <w:rsid w:val="00004C13"/>
    <w:rsid w:val="000318BA"/>
    <w:rsid w:val="00095BA6"/>
    <w:rsid w:val="000B7C1C"/>
    <w:rsid w:val="000F5A42"/>
    <w:rsid w:val="00141E7F"/>
    <w:rsid w:val="001A3763"/>
    <w:rsid w:val="001A6B61"/>
    <w:rsid w:val="001B1384"/>
    <w:rsid w:val="001B3088"/>
    <w:rsid w:val="001C6F98"/>
    <w:rsid w:val="002D27C4"/>
    <w:rsid w:val="002D6533"/>
    <w:rsid w:val="002F3F23"/>
    <w:rsid w:val="003304A4"/>
    <w:rsid w:val="003B53A5"/>
    <w:rsid w:val="0040786E"/>
    <w:rsid w:val="004102F3"/>
    <w:rsid w:val="00446AD1"/>
    <w:rsid w:val="00475ED9"/>
    <w:rsid w:val="004D448B"/>
    <w:rsid w:val="004D7DB6"/>
    <w:rsid w:val="00537045"/>
    <w:rsid w:val="0054238E"/>
    <w:rsid w:val="005D13DA"/>
    <w:rsid w:val="0063467C"/>
    <w:rsid w:val="006415A9"/>
    <w:rsid w:val="006956F0"/>
    <w:rsid w:val="006C1F24"/>
    <w:rsid w:val="006F33B3"/>
    <w:rsid w:val="00704295"/>
    <w:rsid w:val="0075049F"/>
    <w:rsid w:val="00791375"/>
    <w:rsid w:val="007B367F"/>
    <w:rsid w:val="007C61C7"/>
    <w:rsid w:val="00831D96"/>
    <w:rsid w:val="00870220"/>
    <w:rsid w:val="008912BE"/>
    <w:rsid w:val="00952C1E"/>
    <w:rsid w:val="00A114EB"/>
    <w:rsid w:val="00A40EFC"/>
    <w:rsid w:val="00A7379B"/>
    <w:rsid w:val="00AB7639"/>
    <w:rsid w:val="00AC2B25"/>
    <w:rsid w:val="00B07B35"/>
    <w:rsid w:val="00B14755"/>
    <w:rsid w:val="00B27F97"/>
    <w:rsid w:val="00B33668"/>
    <w:rsid w:val="00BC4D70"/>
    <w:rsid w:val="00BE6B0C"/>
    <w:rsid w:val="00C539CD"/>
    <w:rsid w:val="00C85BAB"/>
    <w:rsid w:val="00CC6034"/>
    <w:rsid w:val="00CE0D2F"/>
    <w:rsid w:val="00D2196F"/>
    <w:rsid w:val="00D22376"/>
    <w:rsid w:val="00D35AFD"/>
    <w:rsid w:val="00D37C18"/>
    <w:rsid w:val="00D45ECC"/>
    <w:rsid w:val="00DD5F07"/>
    <w:rsid w:val="00E16971"/>
    <w:rsid w:val="00E531F3"/>
    <w:rsid w:val="00EF0D3D"/>
    <w:rsid w:val="00F1394C"/>
    <w:rsid w:val="00FA4157"/>
    <w:rsid w:val="08898D0B"/>
    <w:rsid w:val="32D43AFC"/>
    <w:rsid w:val="3B50A9DA"/>
    <w:rsid w:val="4E685569"/>
    <w:rsid w:val="625C5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C997"/>
  <w15:chartTrackingRefBased/>
  <w15:docId w15:val="{F599F255-608F-417A-8796-1731D368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rbane Light" w:eastAsiaTheme="minorHAnsi" w:hAnsi="Urbane Ligh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B35"/>
    <w:rPr>
      <w:rFonts w:asciiTheme="minorHAnsi" w:hAnsiTheme="minorHAnsi"/>
      <w:sz w:val="24"/>
    </w:rPr>
  </w:style>
  <w:style w:type="paragraph" w:styleId="Heading1">
    <w:name w:val="heading 1"/>
    <w:basedOn w:val="Normal"/>
    <w:next w:val="Normal"/>
    <w:link w:val="Heading1Char"/>
    <w:autoRedefine/>
    <w:uiPriority w:val="9"/>
    <w:qFormat/>
    <w:rsid w:val="000B7C1C"/>
    <w:pPr>
      <w:keepNext/>
      <w:keepLines/>
      <w:spacing w:before="240" w:after="0"/>
      <w:outlineLvl w:val="0"/>
    </w:pPr>
    <w:rPr>
      <w:rFonts w:ascii="Calibri" w:eastAsiaTheme="majorEastAsia" w:hAnsi="Calibri" w:cs="Calibri"/>
      <w:b/>
      <w:color w:val="1C7C64"/>
      <w:sz w:val="28"/>
      <w:szCs w:val="28"/>
    </w:rPr>
  </w:style>
  <w:style w:type="paragraph" w:styleId="Heading2">
    <w:name w:val="heading 2"/>
    <w:basedOn w:val="Normal"/>
    <w:next w:val="Normal"/>
    <w:link w:val="Heading2Char"/>
    <w:autoRedefine/>
    <w:uiPriority w:val="9"/>
    <w:unhideWhenUsed/>
    <w:qFormat/>
    <w:rsid w:val="00AC2B25"/>
    <w:pPr>
      <w:keepNext/>
      <w:keepLines/>
      <w:spacing w:before="40" w:after="0"/>
      <w:outlineLvl w:val="1"/>
    </w:pPr>
    <w:rPr>
      <w:rFonts w:asciiTheme="majorHAnsi" w:eastAsiaTheme="majorEastAsia" w:hAnsiTheme="majorHAnsi" w:cstheme="majorHAnsi"/>
      <w:b/>
      <w:color w:val="1C7C6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3B3"/>
  </w:style>
  <w:style w:type="paragraph" w:styleId="Footer">
    <w:name w:val="footer"/>
    <w:basedOn w:val="Normal"/>
    <w:link w:val="FooterChar"/>
    <w:uiPriority w:val="99"/>
    <w:unhideWhenUsed/>
    <w:rsid w:val="006F3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3B3"/>
  </w:style>
  <w:style w:type="character" w:customStyle="1" w:styleId="Heading1Char">
    <w:name w:val="Heading 1 Char"/>
    <w:basedOn w:val="DefaultParagraphFont"/>
    <w:link w:val="Heading1"/>
    <w:uiPriority w:val="9"/>
    <w:rsid w:val="000B7C1C"/>
    <w:rPr>
      <w:rFonts w:ascii="Calibri" w:eastAsiaTheme="majorEastAsia" w:hAnsi="Calibri" w:cs="Calibri"/>
      <w:b/>
      <w:color w:val="1C7C64"/>
      <w:sz w:val="28"/>
      <w:szCs w:val="28"/>
    </w:rPr>
  </w:style>
  <w:style w:type="paragraph" w:styleId="ListParagraph">
    <w:name w:val="List Paragraph"/>
    <w:basedOn w:val="Normal"/>
    <w:uiPriority w:val="34"/>
    <w:qFormat/>
    <w:rsid w:val="00D37C18"/>
    <w:pPr>
      <w:ind w:left="720"/>
      <w:contextualSpacing/>
    </w:pPr>
  </w:style>
  <w:style w:type="character" w:customStyle="1" w:styleId="Heading2Char">
    <w:name w:val="Heading 2 Char"/>
    <w:basedOn w:val="DefaultParagraphFont"/>
    <w:link w:val="Heading2"/>
    <w:uiPriority w:val="9"/>
    <w:rsid w:val="00AC2B25"/>
    <w:rPr>
      <w:rFonts w:asciiTheme="majorHAnsi" w:eastAsiaTheme="majorEastAsia" w:hAnsiTheme="majorHAnsi" w:cstheme="majorHAnsi"/>
      <w:b/>
      <w:color w:val="1C7C64"/>
      <w:sz w:val="28"/>
      <w:szCs w:val="28"/>
    </w:rPr>
  </w:style>
  <w:style w:type="paragraph" w:styleId="Caption">
    <w:name w:val="caption"/>
    <w:basedOn w:val="Normal"/>
    <w:next w:val="Normal"/>
    <w:uiPriority w:val="35"/>
    <w:unhideWhenUsed/>
    <w:qFormat/>
    <w:rsid w:val="00BE6B0C"/>
    <w:pPr>
      <w:spacing w:after="200" w:line="240" w:lineRule="auto"/>
    </w:pPr>
    <w:rPr>
      <w:i/>
      <w:iCs/>
      <w:color w:val="1C7C64" w:themeColor="text2"/>
      <w:sz w:val="18"/>
      <w:szCs w:val="18"/>
    </w:rPr>
  </w:style>
  <w:style w:type="character" w:customStyle="1" w:styleId="normaltextrun">
    <w:name w:val="normaltextrun"/>
    <w:basedOn w:val="DefaultParagraphFont"/>
    <w:rsid w:val="004102F3"/>
  </w:style>
  <w:style w:type="character" w:customStyle="1" w:styleId="eop">
    <w:name w:val="eop"/>
    <w:basedOn w:val="DefaultParagraphFont"/>
    <w:rsid w:val="004102F3"/>
  </w:style>
  <w:style w:type="paragraph" w:customStyle="1" w:styleId="paragraph">
    <w:name w:val="paragraph"/>
    <w:basedOn w:val="Normal"/>
    <w:rsid w:val="00870220"/>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9035">
      <w:bodyDiv w:val="1"/>
      <w:marLeft w:val="0"/>
      <w:marRight w:val="0"/>
      <w:marTop w:val="0"/>
      <w:marBottom w:val="0"/>
      <w:divBdr>
        <w:top w:val="none" w:sz="0" w:space="0" w:color="auto"/>
        <w:left w:val="none" w:sz="0" w:space="0" w:color="auto"/>
        <w:bottom w:val="none" w:sz="0" w:space="0" w:color="auto"/>
        <w:right w:val="none" w:sz="0" w:space="0" w:color="auto"/>
      </w:divBdr>
      <w:divsChild>
        <w:div w:id="1113985689">
          <w:marLeft w:val="0"/>
          <w:marRight w:val="0"/>
          <w:marTop w:val="0"/>
          <w:marBottom w:val="0"/>
          <w:divBdr>
            <w:top w:val="none" w:sz="0" w:space="0" w:color="auto"/>
            <w:left w:val="none" w:sz="0" w:space="0" w:color="auto"/>
            <w:bottom w:val="none" w:sz="0" w:space="0" w:color="auto"/>
            <w:right w:val="none" w:sz="0" w:space="0" w:color="auto"/>
          </w:divBdr>
          <w:divsChild>
            <w:div w:id="555431775">
              <w:marLeft w:val="0"/>
              <w:marRight w:val="0"/>
              <w:marTop w:val="0"/>
              <w:marBottom w:val="0"/>
              <w:divBdr>
                <w:top w:val="none" w:sz="0" w:space="0" w:color="auto"/>
                <w:left w:val="none" w:sz="0" w:space="0" w:color="auto"/>
                <w:bottom w:val="none" w:sz="0" w:space="0" w:color="auto"/>
                <w:right w:val="none" w:sz="0" w:space="0" w:color="auto"/>
              </w:divBdr>
            </w:div>
          </w:divsChild>
        </w:div>
        <w:div w:id="245119791">
          <w:marLeft w:val="0"/>
          <w:marRight w:val="0"/>
          <w:marTop w:val="0"/>
          <w:marBottom w:val="0"/>
          <w:divBdr>
            <w:top w:val="none" w:sz="0" w:space="0" w:color="auto"/>
            <w:left w:val="none" w:sz="0" w:space="0" w:color="auto"/>
            <w:bottom w:val="none" w:sz="0" w:space="0" w:color="auto"/>
            <w:right w:val="none" w:sz="0" w:space="0" w:color="auto"/>
          </w:divBdr>
          <w:divsChild>
            <w:div w:id="1895315841">
              <w:marLeft w:val="0"/>
              <w:marRight w:val="0"/>
              <w:marTop w:val="0"/>
              <w:marBottom w:val="0"/>
              <w:divBdr>
                <w:top w:val="none" w:sz="0" w:space="0" w:color="auto"/>
                <w:left w:val="none" w:sz="0" w:space="0" w:color="auto"/>
                <w:bottom w:val="none" w:sz="0" w:space="0" w:color="auto"/>
                <w:right w:val="none" w:sz="0" w:space="0" w:color="auto"/>
              </w:divBdr>
            </w:div>
            <w:div w:id="310255547">
              <w:marLeft w:val="0"/>
              <w:marRight w:val="0"/>
              <w:marTop w:val="0"/>
              <w:marBottom w:val="0"/>
              <w:divBdr>
                <w:top w:val="none" w:sz="0" w:space="0" w:color="auto"/>
                <w:left w:val="none" w:sz="0" w:space="0" w:color="auto"/>
                <w:bottom w:val="none" w:sz="0" w:space="0" w:color="auto"/>
                <w:right w:val="none" w:sz="0" w:space="0" w:color="auto"/>
              </w:divBdr>
            </w:div>
            <w:div w:id="1218056561">
              <w:marLeft w:val="0"/>
              <w:marRight w:val="0"/>
              <w:marTop w:val="0"/>
              <w:marBottom w:val="0"/>
              <w:divBdr>
                <w:top w:val="none" w:sz="0" w:space="0" w:color="auto"/>
                <w:left w:val="none" w:sz="0" w:space="0" w:color="auto"/>
                <w:bottom w:val="none" w:sz="0" w:space="0" w:color="auto"/>
                <w:right w:val="none" w:sz="0" w:space="0" w:color="auto"/>
              </w:divBdr>
            </w:div>
            <w:div w:id="8990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09982">
      <w:bodyDiv w:val="1"/>
      <w:marLeft w:val="0"/>
      <w:marRight w:val="0"/>
      <w:marTop w:val="0"/>
      <w:marBottom w:val="0"/>
      <w:divBdr>
        <w:top w:val="none" w:sz="0" w:space="0" w:color="auto"/>
        <w:left w:val="none" w:sz="0" w:space="0" w:color="auto"/>
        <w:bottom w:val="none" w:sz="0" w:space="0" w:color="auto"/>
        <w:right w:val="none" w:sz="0" w:space="0" w:color="auto"/>
      </w:divBdr>
      <w:divsChild>
        <w:div w:id="1228033619">
          <w:marLeft w:val="0"/>
          <w:marRight w:val="0"/>
          <w:marTop w:val="0"/>
          <w:marBottom w:val="0"/>
          <w:divBdr>
            <w:top w:val="none" w:sz="0" w:space="0" w:color="auto"/>
            <w:left w:val="none" w:sz="0" w:space="0" w:color="auto"/>
            <w:bottom w:val="none" w:sz="0" w:space="0" w:color="auto"/>
            <w:right w:val="none" w:sz="0" w:space="0" w:color="auto"/>
          </w:divBdr>
        </w:div>
        <w:div w:id="1530679063">
          <w:marLeft w:val="0"/>
          <w:marRight w:val="0"/>
          <w:marTop w:val="0"/>
          <w:marBottom w:val="0"/>
          <w:divBdr>
            <w:top w:val="none" w:sz="0" w:space="0" w:color="auto"/>
            <w:left w:val="none" w:sz="0" w:space="0" w:color="auto"/>
            <w:bottom w:val="none" w:sz="0" w:space="0" w:color="auto"/>
            <w:right w:val="none" w:sz="0" w:space="0" w:color="auto"/>
          </w:divBdr>
        </w:div>
        <w:div w:id="1030569795">
          <w:marLeft w:val="0"/>
          <w:marRight w:val="0"/>
          <w:marTop w:val="0"/>
          <w:marBottom w:val="0"/>
          <w:divBdr>
            <w:top w:val="none" w:sz="0" w:space="0" w:color="auto"/>
            <w:left w:val="none" w:sz="0" w:space="0" w:color="auto"/>
            <w:bottom w:val="none" w:sz="0" w:space="0" w:color="auto"/>
            <w:right w:val="none" w:sz="0" w:space="0" w:color="auto"/>
          </w:divBdr>
          <w:divsChild>
            <w:div w:id="2064332399">
              <w:marLeft w:val="0"/>
              <w:marRight w:val="0"/>
              <w:marTop w:val="0"/>
              <w:marBottom w:val="0"/>
              <w:divBdr>
                <w:top w:val="none" w:sz="0" w:space="0" w:color="auto"/>
                <w:left w:val="none" w:sz="0" w:space="0" w:color="auto"/>
                <w:bottom w:val="none" w:sz="0" w:space="0" w:color="auto"/>
                <w:right w:val="none" w:sz="0" w:space="0" w:color="auto"/>
              </w:divBdr>
            </w:div>
            <w:div w:id="13895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103">
      <w:bodyDiv w:val="1"/>
      <w:marLeft w:val="0"/>
      <w:marRight w:val="0"/>
      <w:marTop w:val="0"/>
      <w:marBottom w:val="0"/>
      <w:divBdr>
        <w:top w:val="none" w:sz="0" w:space="0" w:color="auto"/>
        <w:left w:val="none" w:sz="0" w:space="0" w:color="auto"/>
        <w:bottom w:val="none" w:sz="0" w:space="0" w:color="auto"/>
        <w:right w:val="none" w:sz="0" w:space="0" w:color="auto"/>
      </w:divBdr>
    </w:div>
    <w:div w:id="827135147">
      <w:bodyDiv w:val="1"/>
      <w:marLeft w:val="0"/>
      <w:marRight w:val="0"/>
      <w:marTop w:val="0"/>
      <w:marBottom w:val="0"/>
      <w:divBdr>
        <w:top w:val="none" w:sz="0" w:space="0" w:color="auto"/>
        <w:left w:val="none" w:sz="0" w:space="0" w:color="auto"/>
        <w:bottom w:val="none" w:sz="0" w:space="0" w:color="auto"/>
        <w:right w:val="none" w:sz="0" w:space="0" w:color="auto"/>
      </w:divBdr>
      <w:divsChild>
        <w:div w:id="652368379">
          <w:marLeft w:val="0"/>
          <w:marRight w:val="0"/>
          <w:marTop w:val="0"/>
          <w:marBottom w:val="0"/>
          <w:divBdr>
            <w:top w:val="none" w:sz="0" w:space="0" w:color="auto"/>
            <w:left w:val="none" w:sz="0" w:space="0" w:color="auto"/>
            <w:bottom w:val="none" w:sz="0" w:space="0" w:color="auto"/>
            <w:right w:val="none" w:sz="0" w:space="0" w:color="auto"/>
          </w:divBdr>
        </w:div>
        <w:div w:id="359740065">
          <w:marLeft w:val="0"/>
          <w:marRight w:val="0"/>
          <w:marTop w:val="0"/>
          <w:marBottom w:val="0"/>
          <w:divBdr>
            <w:top w:val="none" w:sz="0" w:space="0" w:color="auto"/>
            <w:left w:val="none" w:sz="0" w:space="0" w:color="auto"/>
            <w:bottom w:val="none" w:sz="0" w:space="0" w:color="auto"/>
            <w:right w:val="none" w:sz="0" w:space="0" w:color="auto"/>
          </w:divBdr>
        </w:div>
        <w:div w:id="1596086588">
          <w:marLeft w:val="0"/>
          <w:marRight w:val="0"/>
          <w:marTop w:val="0"/>
          <w:marBottom w:val="0"/>
          <w:divBdr>
            <w:top w:val="none" w:sz="0" w:space="0" w:color="auto"/>
            <w:left w:val="none" w:sz="0" w:space="0" w:color="auto"/>
            <w:bottom w:val="none" w:sz="0" w:space="0" w:color="auto"/>
            <w:right w:val="none" w:sz="0" w:space="0" w:color="auto"/>
          </w:divBdr>
        </w:div>
        <w:div w:id="2037921629">
          <w:marLeft w:val="0"/>
          <w:marRight w:val="0"/>
          <w:marTop w:val="0"/>
          <w:marBottom w:val="0"/>
          <w:divBdr>
            <w:top w:val="none" w:sz="0" w:space="0" w:color="auto"/>
            <w:left w:val="none" w:sz="0" w:space="0" w:color="auto"/>
            <w:bottom w:val="none" w:sz="0" w:space="0" w:color="auto"/>
            <w:right w:val="none" w:sz="0" w:space="0" w:color="auto"/>
          </w:divBdr>
        </w:div>
        <w:div w:id="216861847">
          <w:marLeft w:val="0"/>
          <w:marRight w:val="0"/>
          <w:marTop w:val="0"/>
          <w:marBottom w:val="0"/>
          <w:divBdr>
            <w:top w:val="none" w:sz="0" w:space="0" w:color="auto"/>
            <w:left w:val="none" w:sz="0" w:space="0" w:color="auto"/>
            <w:bottom w:val="none" w:sz="0" w:space="0" w:color="auto"/>
            <w:right w:val="none" w:sz="0" w:space="0" w:color="auto"/>
          </w:divBdr>
        </w:div>
        <w:div w:id="1999378899">
          <w:marLeft w:val="0"/>
          <w:marRight w:val="0"/>
          <w:marTop w:val="0"/>
          <w:marBottom w:val="0"/>
          <w:divBdr>
            <w:top w:val="none" w:sz="0" w:space="0" w:color="auto"/>
            <w:left w:val="none" w:sz="0" w:space="0" w:color="auto"/>
            <w:bottom w:val="none" w:sz="0" w:space="0" w:color="auto"/>
            <w:right w:val="none" w:sz="0" w:space="0" w:color="auto"/>
          </w:divBdr>
        </w:div>
      </w:divsChild>
    </w:div>
    <w:div w:id="947008101">
      <w:bodyDiv w:val="1"/>
      <w:marLeft w:val="0"/>
      <w:marRight w:val="0"/>
      <w:marTop w:val="0"/>
      <w:marBottom w:val="0"/>
      <w:divBdr>
        <w:top w:val="none" w:sz="0" w:space="0" w:color="auto"/>
        <w:left w:val="none" w:sz="0" w:space="0" w:color="auto"/>
        <w:bottom w:val="none" w:sz="0" w:space="0" w:color="auto"/>
        <w:right w:val="none" w:sz="0" w:space="0" w:color="auto"/>
      </w:divBdr>
    </w:div>
    <w:div w:id="1247030736">
      <w:bodyDiv w:val="1"/>
      <w:marLeft w:val="0"/>
      <w:marRight w:val="0"/>
      <w:marTop w:val="0"/>
      <w:marBottom w:val="0"/>
      <w:divBdr>
        <w:top w:val="none" w:sz="0" w:space="0" w:color="auto"/>
        <w:left w:val="none" w:sz="0" w:space="0" w:color="auto"/>
        <w:bottom w:val="none" w:sz="0" w:space="0" w:color="auto"/>
        <w:right w:val="none" w:sz="0" w:space="0" w:color="auto"/>
      </w:divBdr>
      <w:divsChild>
        <w:div w:id="2026595445">
          <w:marLeft w:val="0"/>
          <w:marRight w:val="0"/>
          <w:marTop w:val="0"/>
          <w:marBottom w:val="0"/>
          <w:divBdr>
            <w:top w:val="none" w:sz="0" w:space="0" w:color="auto"/>
            <w:left w:val="none" w:sz="0" w:space="0" w:color="auto"/>
            <w:bottom w:val="none" w:sz="0" w:space="0" w:color="auto"/>
            <w:right w:val="none" w:sz="0" w:space="0" w:color="auto"/>
          </w:divBdr>
        </w:div>
        <w:div w:id="2072344340">
          <w:marLeft w:val="0"/>
          <w:marRight w:val="0"/>
          <w:marTop w:val="0"/>
          <w:marBottom w:val="0"/>
          <w:divBdr>
            <w:top w:val="none" w:sz="0" w:space="0" w:color="auto"/>
            <w:left w:val="none" w:sz="0" w:space="0" w:color="auto"/>
            <w:bottom w:val="none" w:sz="0" w:space="0" w:color="auto"/>
            <w:right w:val="none" w:sz="0" w:space="0" w:color="auto"/>
          </w:divBdr>
        </w:div>
        <w:div w:id="2014453989">
          <w:marLeft w:val="0"/>
          <w:marRight w:val="0"/>
          <w:marTop w:val="0"/>
          <w:marBottom w:val="0"/>
          <w:divBdr>
            <w:top w:val="none" w:sz="0" w:space="0" w:color="auto"/>
            <w:left w:val="none" w:sz="0" w:space="0" w:color="auto"/>
            <w:bottom w:val="none" w:sz="0" w:space="0" w:color="auto"/>
            <w:right w:val="none" w:sz="0" w:space="0" w:color="auto"/>
          </w:divBdr>
        </w:div>
        <w:div w:id="1879589843">
          <w:marLeft w:val="0"/>
          <w:marRight w:val="0"/>
          <w:marTop w:val="0"/>
          <w:marBottom w:val="0"/>
          <w:divBdr>
            <w:top w:val="none" w:sz="0" w:space="0" w:color="auto"/>
            <w:left w:val="none" w:sz="0" w:space="0" w:color="auto"/>
            <w:bottom w:val="none" w:sz="0" w:space="0" w:color="auto"/>
            <w:right w:val="none" w:sz="0" w:space="0" w:color="auto"/>
          </w:divBdr>
        </w:div>
        <w:div w:id="349526474">
          <w:marLeft w:val="0"/>
          <w:marRight w:val="0"/>
          <w:marTop w:val="0"/>
          <w:marBottom w:val="0"/>
          <w:divBdr>
            <w:top w:val="none" w:sz="0" w:space="0" w:color="auto"/>
            <w:left w:val="none" w:sz="0" w:space="0" w:color="auto"/>
            <w:bottom w:val="none" w:sz="0" w:space="0" w:color="auto"/>
            <w:right w:val="none" w:sz="0" w:space="0" w:color="auto"/>
          </w:divBdr>
        </w:div>
      </w:divsChild>
    </w:div>
    <w:div w:id="1599369777">
      <w:bodyDiv w:val="1"/>
      <w:marLeft w:val="0"/>
      <w:marRight w:val="0"/>
      <w:marTop w:val="0"/>
      <w:marBottom w:val="0"/>
      <w:divBdr>
        <w:top w:val="none" w:sz="0" w:space="0" w:color="auto"/>
        <w:left w:val="none" w:sz="0" w:space="0" w:color="auto"/>
        <w:bottom w:val="none" w:sz="0" w:space="0" w:color="auto"/>
        <w:right w:val="none" w:sz="0" w:space="0" w:color="auto"/>
      </w:divBdr>
      <w:divsChild>
        <w:div w:id="2123373978">
          <w:marLeft w:val="0"/>
          <w:marRight w:val="0"/>
          <w:marTop w:val="0"/>
          <w:marBottom w:val="0"/>
          <w:divBdr>
            <w:top w:val="none" w:sz="0" w:space="0" w:color="auto"/>
            <w:left w:val="none" w:sz="0" w:space="0" w:color="auto"/>
            <w:bottom w:val="none" w:sz="0" w:space="0" w:color="auto"/>
            <w:right w:val="none" w:sz="0" w:space="0" w:color="auto"/>
          </w:divBdr>
          <w:divsChild>
            <w:div w:id="722021753">
              <w:marLeft w:val="0"/>
              <w:marRight w:val="0"/>
              <w:marTop w:val="0"/>
              <w:marBottom w:val="0"/>
              <w:divBdr>
                <w:top w:val="none" w:sz="0" w:space="0" w:color="auto"/>
                <w:left w:val="none" w:sz="0" w:space="0" w:color="auto"/>
                <w:bottom w:val="none" w:sz="0" w:space="0" w:color="auto"/>
                <w:right w:val="none" w:sz="0" w:space="0" w:color="auto"/>
              </w:divBdr>
            </w:div>
          </w:divsChild>
        </w:div>
        <w:div w:id="1594044598">
          <w:marLeft w:val="0"/>
          <w:marRight w:val="0"/>
          <w:marTop w:val="0"/>
          <w:marBottom w:val="0"/>
          <w:divBdr>
            <w:top w:val="none" w:sz="0" w:space="0" w:color="auto"/>
            <w:left w:val="none" w:sz="0" w:space="0" w:color="auto"/>
            <w:bottom w:val="none" w:sz="0" w:space="0" w:color="auto"/>
            <w:right w:val="none" w:sz="0" w:space="0" w:color="auto"/>
          </w:divBdr>
          <w:divsChild>
            <w:div w:id="197860172">
              <w:marLeft w:val="0"/>
              <w:marRight w:val="0"/>
              <w:marTop w:val="0"/>
              <w:marBottom w:val="0"/>
              <w:divBdr>
                <w:top w:val="none" w:sz="0" w:space="0" w:color="auto"/>
                <w:left w:val="none" w:sz="0" w:space="0" w:color="auto"/>
                <w:bottom w:val="none" w:sz="0" w:space="0" w:color="auto"/>
                <w:right w:val="none" w:sz="0" w:space="0" w:color="auto"/>
              </w:divBdr>
            </w:div>
            <w:div w:id="1421026220">
              <w:marLeft w:val="0"/>
              <w:marRight w:val="0"/>
              <w:marTop w:val="0"/>
              <w:marBottom w:val="0"/>
              <w:divBdr>
                <w:top w:val="none" w:sz="0" w:space="0" w:color="auto"/>
                <w:left w:val="none" w:sz="0" w:space="0" w:color="auto"/>
                <w:bottom w:val="none" w:sz="0" w:space="0" w:color="auto"/>
                <w:right w:val="none" w:sz="0" w:space="0" w:color="auto"/>
              </w:divBdr>
            </w:div>
            <w:div w:id="500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1088">
      <w:bodyDiv w:val="1"/>
      <w:marLeft w:val="0"/>
      <w:marRight w:val="0"/>
      <w:marTop w:val="0"/>
      <w:marBottom w:val="0"/>
      <w:divBdr>
        <w:top w:val="none" w:sz="0" w:space="0" w:color="auto"/>
        <w:left w:val="none" w:sz="0" w:space="0" w:color="auto"/>
        <w:bottom w:val="none" w:sz="0" w:space="0" w:color="auto"/>
        <w:right w:val="none" w:sz="0" w:space="0" w:color="auto"/>
      </w:divBdr>
      <w:divsChild>
        <w:div w:id="1031146889">
          <w:marLeft w:val="0"/>
          <w:marRight w:val="0"/>
          <w:marTop w:val="0"/>
          <w:marBottom w:val="0"/>
          <w:divBdr>
            <w:top w:val="none" w:sz="0" w:space="0" w:color="auto"/>
            <w:left w:val="none" w:sz="0" w:space="0" w:color="auto"/>
            <w:bottom w:val="none" w:sz="0" w:space="0" w:color="auto"/>
            <w:right w:val="none" w:sz="0" w:space="0" w:color="auto"/>
          </w:divBdr>
          <w:divsChild>
            <w:div w:id="44137851">
              <w:marLeft w:val="0"/>
              <w:marRight w:val="0"/>
              <w:marTop w:val="0"/>
              <w:marBottom w:val="0"/>
              <w:divBdr>
                <w:top w:val="none" w:sz="0" w:space="0" w:color="auto"/>
                <w:left w:val="none" w:sz="0" w:space="0" w:color="auto"/>
                <w:bottom w:val="none" w:sz="0" w:space="0" w:color="auto"/>
                <w:right w:val="none" w:sz="0" w:space="0" w:color="auto"/>
              </w:divBdr>
            </w:div>
            <w:div w:id="61687372">
              <w:marLeft w:val="0"/>
              <w:marRight w:val="0"/>
              <w:marTop w:val="0"/>
              <w:marBottom w:val="0"/>
              <w:divBdr>
                <w:top w:val="none" w:sz="0" w:space="0" w:color="auto"/>
                <w:left w:val="none" w:sz="0" w:space="0" w:color="auto"/>
                <w:bottom w:val="none" w:sz="0" w:space="0" w:color="auto"/>
                <w:right w:val="none" w:sz="0" w:space="0" w:color="auto"/>
              </w:divBdr>
            </w:div>
            <w:div w:id="22025115">
              <w:marLeft w:val="0"/>
              <w:marRight w:val="0"/>
              <w:marTop w:val="0"/>
              <w:marBottom w:val="0"/>
              <w:divBdr>
                <w:top w:val="none" w:sz="0" w:space="0" w:color="auto"/>
                <w:left w:val="none" w:sz="0" w:space="0" w:color="auto"/>
                <w:bottom w:val="none" w:sz="0" w:space="0" w:color="auto"/>
                <w:right w:val="none" w:sz="0" w:space="0" w:color="auto"/>
              </w:divBdr>
            </w:div>
          </w:divsChild>
        </w:div>
        <w:div w:id="1286035364">
          <w:marLeft w:val="0"/>
          <w:marRight w:val="0"/>
          <w:marTop w:val="0"/>
          <w:marBottom w:val="0"/>
          <w:divBdr>
            <w:top w:val="none" w:sz="0" w:space="0" w:color="auto"/>
            <w:left w:val="none" w:sz="0" w:space="0" w:color="auto"/>
            <w:bottom w:val="none" w:sz="0" w:space="0" w:color="auto"/>
            <w:right w:val="none" w:sz="0" w:space="0" w:color="auto"/>
          </w:divBdr>
        </w:div>
      </w:divsChild>
    </w:div>
    <w:div w:id="2026397990">
      <w:bodyDiv w:val="1"/>
      <w:marLeft w:val="0"/>
      <w:marRight w:val="0"/>
      <w:marTop w:val="0"/>
      <w:marBottom w:val="0"/>
      <w:divBdr>
        <w:top w:val="none" w:sz="0" w:space="0" w:color="auto"/>
        <w:left w:val="none" w:sz="0" w:space="0" w:color="auto"/>
        <w:bottom w:val="none" w:sz="0" w:space="0" w:color="auto"/>
        <w:right w:val="none" w:sz="0" w:space="0" w:color="auto"/>
      </w:divBdr>
      <w:divsChild>
        <w:div w:id="542448957">
          <w:marLeft w:val="0"/>
          <w:marRight w:val="0"/>
          <w:marTop w:val="0"/>
          <w:marBottom w:val="0"/>
          <w:divBdr>
            <w:top w:val="none" w:sz="0" w:space="0" w:color="auto"/>
            <w:left w:val="none" w:sz="0" w:space="0" w:color="auto"/>
            <w:bottom w:val="none" w:sz="0" w:space="0" w:color="auto"/>
            <w:right w:val="none" w:sz="0" w:space="0" w:color="auto"/>
          </w:divBdr>
        </w:div>
        <w:div w:id="1063716484">
          <w:marLeft w:val="0"/>
          <w:marRight w:val="0"/>
          <w:marTop w:val="0"/>
          <w:marBottom w:val="0"/>
          <w:divBdr>
            <w:top w:val="none" w:sz="0" w:space="0" w:color="auto"/>
            <w:left w:val="none" w:sz="0" w:space="0" w:color="auto"/>
            <w:bottom w:val="none" w:sz="0" w:space="0" w:color="auto"/>
            <w:right w:val="none" w:sz="0" w:space="0" w:color="auto"/>
          </w:divBdr>
        </w:div>
        <w:div w:id="2017951207">
          <w:marLeft w:val="0"/>
          <w:marRight w:val="0"/>
          <w:marTop w:val="0"/>
          <w:marBottom w:val="0"/>
          <w:divBdr>
            <w:top w:val="none" w:sz="0" w:space="0" w:color="auto"/>
            <w:left w:val="none" w:sz="0" w:space="0" w:color="auto"/>
            <w:bottom w:val="none" w:sz="0" w:space="0" w:color="auto"/>
            <w:right w:val="none" w:sz="0" w:space="0" w:color="auto"/>
          </w:divBdr>
        </w:div>
        <w:div w:id="1152868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Nielsen\OneDrive%20-%20Knowsley%20CVS\Comms%20Templates\WordTemplateHeaderFooterOneKnowsley.dotx" TargetMode="External"/></Relationships>
</file>

<file path=word/theme/theme1.xml><?xml version="1.0" encoding="utf-8"?>
<a:theme xmlns:a="http://schemas.openxmlformats.org/drawingml/2006/main" name="Office Theme">
  <a:themeElements>
    <a:clrScheme name="One Knowsley">
      <a:dk1>
        <a:srgbClr val="375542"/>
      </a:dk1>
      <a:lt1>
        <a:srgbClr val="FFFFFF"/>
      </a:lt1>
      <a:dk2>
        <a:srgbClr val="1C7C64"/>
      </a:dk2>
      <a:lt2>
        <a:srgbClr val="E7E6E6"/>
      </a:lt2>
      <a:accent1>
        <a:srgbClr val="7D4183"/>
      </a:accent1>
      <a:accent2>
        <a:srgbClr val="E9530E"/>
      </a:accent2>
      <a:accent3>
        <a:srgbClr val="CC5599"/>
      </a:accent3>
      <a:accent4>
        <a:srgbClr val="6FB74D"/>
      </a:accent4>
      <a:accent5>
        <a:srgbClr val="207D65"/>
      </a:accent5>
      <a:accent6>
        <a:srgbClr val="A6A3D1"/>
      </a:accent6>
      <a:hlink>
        <a:srgbClr val="03386D"/>
      </a:hlink>
      <a:folHlink>
        <a:srgbClr val="954F72"/>
      </a:folHlink>
    </a:clrScheme>
    <a:fontScheme name="One Knowsley">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c3fbc98-17e6-4307-b4b4-7b7672e76432">
      <UserInfo>
        <DisplayName>Racheal Jones</DisplayName>
        <AccountId>19</AccountId>
        <AccountType/>
      </UserInfo>
      <UserInfo>
        <DisplayName>Paula Kearns</DisplayName>
        <AccountId>18</AccountId>
        <AccountType/>
      </UserInfo>
      <UserInfo>
        <DisplayName>Heather Nielsen</DisplayName>
        <AccountId>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462C367A0C4C46BC7F46D4785D5850" ma:contentTypeVersion="4" ma:contentTypeDescription="Create a new document." ma:contentTypeScope="" ma:versionID="ef73315bfc1126194e66416891c43f85">
  <xsd:schema xmlns:xsd="http://www.w3.org/2001/XMLSchema" xmlns:xs="http://www.w3.org/2001/XMLSchema" xmlns:p="http://schemas.microsoft.com/office/2006/metadata/properties" xmlns:ns2="b9a7c693-e880-433b-b01e-edb826d2f928" xmlns:ns3="cc3fbc98-17e6-4307-b4b4-7b7672e76432" targetNamespace="http://schemas.microsoft.com/office/2006/metadata/properties" ma:root="true" ma:fieldsID="e940b6834c24f9b333611ccbf437ce4a" ns2:_="" ns3:_="">
    <xsd:import namespace="b9a7c693-e880-433b-b01e-edb826d2f928"/>
    <xsd:import namespace="cc3fbc98-17e6-4307-b4b4-7b7672e764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7c693-e880-433b-b01e-edb826d2f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fbc98-17e6-4307-b4b4-7b7672e764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158C7-163E-4027-86C0-92E56E8065B0}">
  <ds:schemaRefs>
    <ds:schemaRef ds:uri="http://schemas.openxmlformats.org/officeDocument/2006/bibliography"/>
  </ds:schemaRefs>
</ds:datastoreItem>
</file>

<file path=customXml/itemProps2.xml><?xml version="1.0" encoding="utf-8"?>
<ds:datastoreItem xmlns:ds="http://schemas.openxmlformats.org/officeDocument/2006/customXml" ds:itemID="{CD4E66AB-657C-446D-930F-5026700912EE}">
  <ds:schemaRefs>
    <ds:schemaRef ds:uri="http://schemas.microsoft.com/sharepoint/v3/contenttype/forms"/>
  </ds:schemaRefs>
</ds:datastoreItem>
</file>

<file path=customXml/itemProps3.xml><?xml version="1.0" encoding="utf-8"?>
<ds:datastoreItem xmlns:ds="http://schemas.openxmlformats.org/officeDocument/2006/customXml" ds:itemID="{6B5B3453-4851-4878-8AB9-3C93DB195EDA}">
  <ds:schemaRefs>
    <ds:schemaRef ds:uri="http://schemas.microsoft.com/office/2006/metadata/properties"/>
    <ds:schemaRef ds:uri="http://schemas.microsoft.com/office/infopath/2007/PartnerControls"/>
    <ds:schemaRef ds:uri="cc3fbc98-17e6-4307-b4b4-7b7672e76432"/>
  </ds:schemaRefs>
</ds:datastoreItem>
</file>

<file path=customXml/itemProps4.xml><?xml version="1.0" encoding="utf-8"?>
<ds:datastoreItem xmlns:ds="http://schemas.openxmlformats.org/officeDocument/2006/customXml" ds:itemID="{7C71F6D5-18DA-446C-86A7-551B532DA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7c693-e880-433b-b01e-edb826d2f928"/>
    <ds:schemaRef ds:uri="cc3fbc98-17e6-4307-b4b4-7b7672e76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WordTemplateHeaderFooterOneKnowsley</Template>
  <TotalTime>1</TotalTime>
  <Pages>5</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Nielsen</dc:creator>
  <cp:keywords/>
  <dc:description/>
  <cp:lastModifiedBy>Heather Nielsen</cp:lastModifiedBy>
  <cp:revision>2</cp:revision>
  <dcterms:created xsi:type="dcterms:W3CDTF">2022-09-29T12:27:00Z</dcterms:created>
  <dcterms:modified xsi:type="dcterms:W3CDTF">2022-09-29T12:27:00Z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0x0101006D462C367A0C4C46BC7F46D4785D5850</vt:lpwstr>
  </property>
</Properties>
</file>